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A1A2E"/>
          <w:sz w:val="48"/>
          <w:szCs w:val="48"/>
        </w:rPr>
        <w:t xml:space="preserve">Real Estate Depreciation in Germany</w:t>
      </w:r>
    </w:p>
    <w:p>
      <w:pPr>
        <w:spacing w:after="60"/>
      </w:pPr>
      <w:r>
        <w:rPr>
          <w:rFonts w:ascii="Arial" w:cs="Arial" w:eastAsia="Arial" w:hAnsi="Arial"/>
          <w:i/>
          <w:iCs/>
          <w:color w:val="2E5D9E"/>
          <w:sz w:val="26"/>
          <w:szCs w:val="26"/>
        </w:rPr>
        <w:t xml:space="preserve">AfA Mechanics, Statutory Framework &amp; Portfolio Strategy</w:t>
      </w:r>
    </w:p>
    <w:p>
      <w:pPr>
        <w:pBdr>
          <w:bottom w:val="single" w:color="2E5D9E" w:sz="12" w:space="8"/>
        </w:pBdr>
        <w:spacing w:after="320"/>
      </w:pPr>
      <w:r>
        <w:rPr>
          <w:rFonts w:ascii="Arial" w:cs="Arial" w:eastAsia="Arial" w:hAnsi="Arial"/>
          <w:color w:val="777777"/>
          <w:sz w:val="20"/>
          <w:szCs w:val="20"/>
        </w:rPr>
        <w:t xml:space="preserve">Berlin residential &amp; commercial assets · German EStG · Self-managed portfolios</w:t>
      </w:r>
    </w:p>
    <w:p>
      <w:pPr>
        <w:spacing w:after="100"/>
      </w:pPr>
    </w:p>
    <w:tbl>
      <w:tblPr>
        <w:tblW w:type="dxa" w:w="2800"/>
        <w:tblBorders>
          <w:top w:val="single" w:color="auto" w:sz="4"/>
          <w:left w:val="single" w:color="auto" w:sz="4"/>
          <w:bottom w:val="single" w:color="auto" w:sz="4"/>
          <w:right w:val="single" w:color="auto" w:sz="4"/>
          <w:insideH w:val="single" w:color="auto" w:sz="4"/>
          <w:insideV w:val="single" w:color="auto" w:sz="4"/>
        </w:tblBorders>
      </w:tblPr>
      <w:tblGrid>
        <w:gridCol w:w="2800"/>
      </w:tblGrid>
      <w:tr>
        <w:tc>
          <w:tcPr>
            <w:tcBorders>
              <w:top w:val="none" w:color="FFFFFF" w:sz="0"/>
              <w:left w:val="none" w:color="FFFFFF" w:sz="0"/>
              <w:bottom w:val="none" w:color="FFFFFF" w:sz="0"/>
              <w:right w:val="none" w:color="FFFFFF" w:sz="0"/>
            </w:tcBorders>
            <w:shd w:fill="2E5D9E" w:val="clear"/>
            <w:tcMar>
              <w:top w:type="dxa" w:w="60"/>
              <w:left w:type="dxa" w:w="160"/>
              <w:bottom w:type="dxa" w:w="60"/>
              <w:right w:type="dxa" w:w="160"/>
            </w:tcMar>
          </w:tcPr>
          <w:p>
            <w:pPr>
              <w:jc w:val="center"/>
            </w:pPr>
            <w:r>
              <w:rPr>
                <w:rFonts w:ascii="Arial" w:cs="Arial" w:eastAsia="Arial" w:hAnsi="Arial"/>
                <w:b/>
                <w:bCs/>
                <w:color w:val="FFFFFF"/>
                <w:sz w:val="18"/>
                <w:szCs w:val="18"/>
              </w:rPr>
              <w:t xml:space="preserve">01 · DATA</w:t>
            </w:r>
          </w:p>
        </w:tc>
      </w:tr>
    </w:tbl>
    <w:p>
      <w:pPr>
        <w:spacing w:after="80"/>
      </w:pPr>
    </w:p>
    <w:p>
      <w:pPr>
        <w:pStyle w:val="Heading1"/>
        <w:pBdr>
          <w:bottom w:val="single" w:color="2E5D9E" w:sz="8" w:space="6"/>
        </w:pBdr>
        <w:spacing w:after="120" w:before="360"/>
      </w:pPr>
      <w:r>
        <w:rPr>
          <w:rFonts w:ascii="Arial" w:cs="Arial" w:eastAsia="Arial" w:hAnsi="Arial"/>
          <w:b/>
          <w:bCs/>
          <w:color w:val="1A1A2E"/>
          <w:sz w:val="36"/>
          <w:szCs w:val="36"/>
        </w:rPr>
        <w:t xml:space="preserve">How Depreciation Works: The Numbers</w:t>
      </w:r>
    </w:p>
    <w:p>
      <w:pPr>
        <w:spacing w:after="120"/>
      </w:pPr>
      <w:r>
        <w:rPr>
          <w:rFonts w:ascii="Arial" w:cs="Arial" w:eastAsia="Arial" w:hAnsi="Arial"/>
          <w:color w:val="333333"/>
          <w:sz w:val="22"/>
          <w:szCs w:val="22"/>
        </w:rPr>
        <w:t xml:space="preserve">Depreciation (Absetzung für Abnutzung, AfA) allows you to deduct the acquisition and production costs of income-producing real property against rental income over the building's statutory useful life. Land value is explicitly excluded — only the structural component is depreciable. That split matters: the higher the building allocation, the larger the annual deduction.</w:t>
      </w:r>
    </w:p>
    <w:p>
      <w:pPr>
        <w:spacing w:after="60"/>
      </w:pPr>
    </w:p>
    <w:p>
      <w:pPr>
        <w:pStyle w:val="Heading2"/>
        <w:spacing w:after="80" w:before="280"/>
      </w:pPr>
      <w:r>
        <w:rPr>
          <w:rFonts w:ascii="Arial" w:cs="Arial" w:eastAsia="Arial" w:hAnsi="Arial"/>
          <w:b/>
          <w:bCs/>
          <w:color w:val="2E5D9E"/>
          <w:sz w:val="28"/>
          <w:szCs w:val="28"/>
        </w:rPr>
        <w:t xml:space="preserve">Core AfA Rates — Residential &amp; Commercial</w:t>
      </w:r>
    </w:p>
    <w:p>
      <w:pPr>
        <w:pStyle w:val="ListParagraph"/>
        <w:numPr>
          <w:ilvl w:val="0"/>
          <w:numId w:val="2"/>
        </w:numPr>
        <w:spacing w:after="80"/>
      </w:pPr>
      <w:r>
        <w:rPr>
          <w:rFonts w:ascii="Arial" w:cs="Arial" w:eastAsia="Arial" w:hAnsi="Arial"/>
          <w:b/>
          <w:bCs/>
          <w:color w:val="1A1A2E"/>
          <w:sz w:val="22"/>
          <w:szCs w:val="22"/>
        </w:rPr>
        <w:t xml:space="preserve">Pre-1925 buildings: </w:t>
      </w:r>
      <w:r>
        <w:rPr>
          <w:rFonts w:ascii="Arial" w:cs="Arial" w:eastAsia="Arial" w:hAnsi="Arial"/>
          <w:color w:val="333333"/>
          <w:sz w:val="22"/>
          <w:szCs w:val="22"/>
        </w:rPr>
        <w:t xml:space="preserve">2.5% p.a. → full write-down over 40 years</w:t>
      </w:r>
    </w:p>
    <w:p>
      <w:pPr>
        <w:pStyle w:val="ListParagraph"/>
        <w:numPr>
          <w:ilvl w:val="0"/>
          <w:numId w:val="2"/>
        </w:numPr>
        <w:spacing w:after="80"/>
      </w:pPr>
      <w:r>
        <w:rPr>
          <w:rFonts w:ascii="Arial" w:cs="Arial" w:eastAsia="Arial" w:hAnsi="Arial"/>
          <w:b/>
          <w:bCs/>
          <w:color w:val="1A1A2E"/>
          <w:sz w:val="22"/>
          <w:szCs w:val="22"/>
        </w:rPr>
        <w:t xml:space="preserve">Post-1925 to 2022 (acquisition or construction): </w:t>
      </w:r>
      <w:r>
        <w:rPr>
          <w:rFonts w:ascii="Arial" w:cs="Arial" w:eastAsia="Arial" w:hAnsi="Arial"/>
          <w:color w:val="333333"/>
          <w:sz w:val="22"/>
          <w:szCs w:val="22"/>
        </w:rPr>
        <w:t xml:space="preserve">2% p.a. → full write-down over 50 years</w:t>
      </w:r>
    </w:p>
    <w:p>
      <w:pPr>
        <w:pStyle w:val="ListParagraph"/>
        <w:numPr>
          <w:ilvl w:val="0"/>
          <w:numId w:val="2"/>
        </w:numPr>
        <w:spacing w:after="80"/>
      </w:pPr>
      <w:r>
        <w:rPr>
          <w:rFonts w:ascii="Arial" w:cs="Arial" w:eastAsia="Arial" w:hAnsi="Arial"/>
          <w:b/>
          <w:bCs/>
          <w:color w:val="1A1A2E"/>
          <w:sz w:val="22"/>
          <w:szCs w:val="22"/>
        </w:rPr>
        <w:t xml:space="preserve">Post-2022 (new build or first acquisition): </w:t>
      </w:r>
      <w:r>
        <w:rPr>
          <w:rFonts w:ascii="Arial" w:cs="Arial" w:eastAsia="Arial" w:hAnsi="Arial"/>
          <w:color w:val="333333"/>
          <w:sz w:val="22"/>
          <w:szCs w:val="22"/>
        </w:rPr>
        <w:t xml:space="preserve">3% p.a. → full write-down over ~33 years</w:t>
      </w:r>
    </w:p>
    <w:p>
      <w:pPr>
        <w:pStyle w:val="ListParagraph"/>
        <w:numPr>
          <w:ilvl w:val="0"/>
          <w:numId w:val="2"/>
        </w:numPr>
        <w:spacing w:after="80"/>
      </w:pPr>
      <w:r>
        <w:rPr>
          <w:rFonts w:ascii="Arial" w:cs="Arial" w:eastAsia="Arial" w:hAnsi="Arial"/>
          <w:b/>
          <w:bCs/>
          <w:color w:val="1A1A2E"/>
          <w:sz w:val="22"/>
          <w:szCs w:val="22"/>
        </w:rPr>
        <w:t xml:space="preserve">Monument / listed building restoration costs (§ 7i EStG): </w:t>
      </w:r>
      <w:r>
        <w:rPr>
          <w:rFonts w:ascii="Arial" w:cs="Arial" w:eastAsia="Arial" w:hAnsi="Arial"/>
          <w:color w:val="333333"/>
          <w:sz w:val="22"/>
          <w:szCs w:val="22"/>
        </w:rPr>
        <w:t xml:space="preserve">9% for 8 years, then 7% for 4 years — 100% write-off in 12 years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00"/>
        </w:tblCellMar>
      </w:tblPr>
      <w:tblGrid>
        <w:gridCol w:w="9360"/>
      </w:tblGrid>
      <w:tr>
        <w:tc>
          <w:tcPr>
            <w:tcBorders>
              <w:top w:val="single" w:color="2E5D9E" w:sz="12"/>
              <w:left w:val="single" w:color="2E5D9E" w:sz="20"/>
              <w:bottom w:val="none" w:color="FFFFFF" w:sz="0"/>
              <w:right w:val="none" w:color="FFFFFF" w:sz="0"/>
            </w:tcBorders>
            <w:shd w:fill="EEF3FA" w:val="clear"/>
            <w:tcMar>
              <w:top w:type="dxa" w:w="120"/>
              <w:left w:type="dxa" w:w="200"/>
              <w:bottom w:type="dxa" w:w="120"/>
              <w:right w:type="dxa" w:w="120"/>
            </w:tcMar>
          </w:tcPr>
          <w:p>
            <w:r>
              <w:rPr>
                <w:rFonts w:ascii="Arial" w:cs="Arial" w:eastAsia="Arial" w:hAnsi="Arial"/>
                <w:i/>
                <w:iCs/>
                <w:color w:val="1A1A2E"/>
                <w:sz w:val="22"/>
                <w:szCs w:val="22"/>
              </w:rPr>
              <w:t xml:space="preserve">Applied example: A Berlin Altbau acquired in 2023 for €1,200,000. Land allocated at €400,000 via Grundsteuerbescheid. Depreciable base: €800,000 × 2% = €16,000 AfA p.a. A qualifying listed-building restoration of €200,000 generates an additional €18,000 in year-one deductions under §7i.</w:t>
            </w:r>
          </w:p>
        </w:tc>
      </w:tr>
    </w:tbl>
    <w:p>
      <w:pPr>
        <w:spacing w:after="100"/>
      </w:pPr>
    </w:p>
    <w:p>
      <w:pPr>
        <w:pStyle w:val="Heading2"/>
        <w:spacing w:after="80" w:before="280"/>
      </w:pPr>
      <w:r>
        <w:rPr>
          <w:rFonts w:ascii="Arial" w:cs="Arial" w:eastAsia="Arial" w:hAnsi="Arial"/>
          <w:b/>
          <w:bCs/>
          <w:color w:val="2E5D9E"/>
          <w:sz w:val="28"/>
          <w:szCs w:val="28"/>
        </w:rPr>
        <w:t xml:space="preserve">The Depreciable Base: What Gets Added</w:t>
      </w:r>
    </w:p>
    <w:p>
      <w:pPr>
        <w:spacing w:after="120"/>
      </w:pPr>
      <w:r>
        <w:rPr>
          <w:rFonts w:ascii="Arial" w:cs="Arial" w:eastAsia="Arial" w:hAnsi="Arial"/>
          <w:color w:val="333333"/>
          <w:sz w:val="22"/>
          <w:szCs w:val="22"/>
        </w:rPr>
        <w:t xml:space="preserve">The depreciable base (AfA-Bemessungsgrundlage) is not static. Capital improvements — defined as expenditure that creates, substantially enlarges, or improves the standard of a building component — are capitalised onto the base and depreciated over the remaining useful life or their own estimated life:</w:t>
      </w:r>
    </w:p>
    <w:p>
      <w:pPr>
        <w:pStyle w:val="ListParagraph"/>
        <w:numPr>
          <w:ilvl w:val="0"/>
          <w:numId w:val="2"/>
        </w:numPr>
        <w:spacing w:after="80"/>
      </w:pPr>
      <w:r>
        <w:rPr>
          <w:rFonts w:ascii="Arial" w:cs="Arial" w:eastAsia="Arial" w:hAnsi="Arial"/>
          <w:b/>
          <w:bCs/>
          <w:color w:val="1A1A2E"/>
          <w:sz w:val="22"/>
          <w:szCs w:val="22"/>
        </w:rPr>
        <w:t xml:space="preserve">Heating system replacement: </w:t>
      </w:r>
      <w:r>
        <w:rPr>
          <w:rFonts w:ascii="Arial" w:cs="Arial" w:eastAsia="Arial" w:hAnsi="Arial"/>
          <w:color w:val="333333"/>
          <w:sz w:val="22"/>
          <w:szCs w:val="22"/>
        </w:rPr>
        <w:t xml:space="preserve">capitalised; typically 15–20 yr component life</w:t>
      </w:r>
    </w:p>
    <w:p>
      <w:pPr>
        <w:pStyle w:val="ListParagraph"/>
        <w:numPr>
          <w:ilvl w:val="0"/>
          <w:numId w:val="2"/>
        </w:numPr>
        <w:spacing w:after="80"/>
      </w:pPr>
      <w:r>
        <w:rPr>
          <w:rFonts w:ascii="Arial" w:cs="Arial" w:eastAsia="Arial" w:hAnsi="Arial"/>
          <w:b/>
          <w:bCs/>
          <w:color w:val="1A1A2E"/>
          <w:sz w:val="22"/>
          <w:szCs w:val="22"/>
        </w:rPr>
        <w:t xml:space="preserve">Full kitchen fit-out (landlord-owned): </w:t>
      </w:r>
      <w:r>
        <w:rPr>
          <w:rFonts w:ascii="Arial" w:cs="Arial" w:eastAsia="Arial" w:hAnsi="Arial"/>
          <w:color w:val="333333"/>
          <w:sz w:val="22"/>
          <w:szCs w:val="22"/>
        </w:rPr>
        <w:t xml:space="preserve">capitalised; typically 10–15 yr component life</w:t>
      </w:r>
    </w:p>
    <w:p>
      <w:pPr>
        <w:pStyle w:val="ListParagraph"/>
        <w:numPr>
          <w:ilvl w:val="0"/>
          <w:numId w:val="2"/>
        </w:numPr>
        <w:spacing w:after="80"/>
      </w:pPr>
      <w:r>
        <w:rPr>
          <w:rFonts w:ascii="Arial" w:cs="Arial" w:eastAsia="Arial" w:hAnsi="Arial"/>
          <w:b/>
          <w:bCs/>
          <w:color w:val="1A1A2E"/>
          <w:sz w:val="22"/>
          <w:szCs w:val="22"/>
        </w:rPr>
        <w:t xml:space="preserve">Roof structure and weatherproofing: </w:t>
      </w:r>
      <w:r>
        <w:rPr>
          <w:rFonts w:ascii="Arial" w:cs="Arial" w:eastAsia="Arial" w:hAnsi="Arial"/>
          <w:color w:val="333333"/>
          <w:sz w:val="22"/>
          <w:szCs w:val="22"/>
        </w:rPr>
        <w:t xml:space="preserve">capitalised; remaining structural life</w:t>
      </w:r>
    </w:p>
    <w:p>
      <w:pPr>
        <w:pStyle w:val="ListParagraph"/>
        <w:numPr>
          <w:ilvl w:val="0"/>
          <w:numId w:val="2"/>
        </w:numPr>
        <w:spacing w:after="80"/>
      </w:pPr>
      <w:r>
        <w:rPr>
          <w:rFonts w:ascii="Arial" w:cs="Arial" w:eastAsia="Arial" w:hAnsi="Arial"/>
          <w:b/>
          <w:bCs/>
          <w:color w:val="1A1A2E"/>
          <w:sz w:val="22"/>
          <w:szCs w:val="22"/>
        </w:rPr>
        <w:t xml:space="preserve">Immediate repairs (Erhaltungsaufwand): </w:t>
      </w:r>
      <w:r>
        <w:rPr>
          <w:rFonts w:ascii="Arial" w:cs="Arial" w:eastAsia="Arial" w:hAnsi="Arial"/>
          <w:color w:val="333333"/>
          <w:sz w:val="22"/>
          <w:szCs w:val="22"/>
        </w:rPr>
        <w:t xml:space="preserve">deductible in the year incurred — not capitalised</w:t>
      </w:r>
    </w:p>
    <w:p>
      <w:pPr>
        <w:spacing w:after="120"/>
      </w:pPr>
      <w:r>
        <w:rPr>
          <w:rFonts w:ascii="Arial" w:cs="Arial" w:eastAsia="Arial" w:hAnsi="Arial"/>
          <w:color w:val="333333"/>
          <w:sz w:val="22"/>
          <w:szCs w:val="22"/>
        </w:rPr>
        <w:t xml:space="preserve">The boundary between Herstellungsaufwand (capitalised) and Erhaltungsaufwand (immediate deduction) is consistently litigated by Finanzämter. Document the scope and intent of every construction measure before works begin.</w:t>
      </w:r>
    </w:p>
    <w:p>
      <w:pPr>
        <w:spacing w:after="120"/>
      </w:pPr>
    </w:p>
    <w:p>
      <w:pPr>
        <w:pStyle w:val="Heading2"/>
        <w:spacing w:after="80" w:before="280"/>
      </w:pPr>
      <w:r>
        <w:rPr>
          <w:rFonts w:ascii="Arial" w:cs="Arial" w:eastAsia="Arial" w:hAnsi="Arial"/>
          <w:b/>
          <w:bCs/>
          <w:color w:val="2E5D9E"/>
          <w:sz w:val="28"/>
          <w:szCs w:val="28"/>
        </w:rPr>
        <w:t xml:space="preserve">Statutory AfA Methods — Overview</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000"/>
        <w:gridCol w:w="3560"/>
        <w:gridCol w:w="1700"/>
      </w:tblGrid>
      <w:tr>
        <w:tc>
          <w:tcPr>
            <w:tcW w:type="dxa" w:w="2100"/>
            <w:tcBorders>
              <w:top w:val="single" w:color="AABFD8" w:sz="1"/>
              <w:left w:val="single" w:color="AABFD8" w:sz="1"/>
              <w:bottom w:val="single" w:color="AABFD8" w:sz="1"/>
              <w:right w:val="single" w:color="AABFD8" w:sz="1"/>
            </w:tcBorders>
            <w:shd w:fill="2E5D9E" w:val="clear"/>
            <w:tcMar>
              <w:top w:type="dxa" w:w="80"/>
              <w:left w:type="dxa" w:w="100"/>
              <w:bottom w:type="dxa" w:w="80"/>
              <w:right w:type="dxa" w:w="100"/>
            </w:tcMar>
          </w:tcPr>
          <w:p>
            <w:r>
              <w:rPr>
                <w:rFonts w:ascii="Arial" w:cs="Arial" w:eastAsia="Arial" w:hAnsi="Arial"/>
                <w:b/>
                <w:bCs/>
                <w:color w:val="FFFFFF"/>
                <w:sz w:val="20"/>
                <w:szCs w:val="20"/>
              </w:rPr>
              <w:t xml:space="preserve">Method</w:t>
            </w:r>
          </w:p>
        </w:tc>
        <w:tc>
          <w:tcPr>
            <w:tcW w:type="dxa" w:w="2000"/>
            <w:tcBorders>
              <w:top w:val="single" w:color="AABFD8" w:sz="1"/>
              <w:left w:val="single" w:color="AABFD8" w:sz="1"/>
              <w:bottom w:val="single" w:color="AABFD8" w:sz="1"/>
              <w:right w:val="single" w:color="AABFD8" w:sz="1"/>
            </w:tcBorders>
            <w:shd w:fill="2E5D9E" w:val="clear"/>
            <w:tcMar>
              <w:top w:type="dxa" w:w="80"/>
              <w:left w:type="dxa" w:w="100"/>
              <w:bottom w:type="dxa" w:w="80"/>
              <w:right w:type="dxa" w:w="100"/>
            </w:tcMar>
          </w:tcPr>
          <w:p>
            <w:r>
              <w:rPr>
                <w:rFonts w:ascii="Arial" w:cs="Arial" w:eastAsia="Arial" w:hAnsi="Arial"/>
                <w:b/>
                <w:bCs/>
                <w:color w:val="FFFFFF"/>
                <w:sz w:val="20"/>
                <w:szCs w:val="20"/>
              </w:rPr>
              <w:t xml:space="preserve">Statutory Basis</w:t>
            </w:r>
          </w:p>
        </w:tc>
        <w:tc>
          <w:tcPr>
            <w:tcW w:type="dxa" w:w="3560"/>
            <w:tcBorders>
              <w:top w:val="single" w:color="AABFD8" w:sz="1"/>
              <w:left w:val="single" w:color="AABFD8" w:sz="1"/>
              <w:bottom w:val="single" w:color="AABFD8" w:sz="1"/>
              <w:right w:val="single" w:color="AABFD8" w:sz="1"/>
            </w:tcBorders>
            <w:shd w:fill="2E5D9E" w:val="clear"/>
            <w:tcMar>
              <w:top w:type="dxa" w:w="80"/>
              <w:left w:type="dxa" w:w="100"/>
              <w:bottom w:type="dxa" w:w="80"/>
              <w:right w:type="dxa" w:w="100"/>
            </w:tcMar>
          </w:tcPr>
          <w:p>
            <w:r>
              <w:rPr>
                <w:rFonts w:ascii="Arial" w:cs="Arial" w:eastAsia="Arial" w:hAnsi="Arial"/>
                <w:b/>
                <w:bCs/>
                <w:color w:val="FFFFFF"/>
                <w:sz w:val="20"/>
                <w:szCs w:val="20"/>
              </w:rPr>
              <w:t xml:space="preserve">Rate / Condition</w:t>
            </w:r>
          </w:p>
        </w:tc>
        <w:tc>
          <w:tcPr>
            <w:tcW w:type="dxa" w:w="1700"/>
            <w:tcBorders>
              <w:top w:val="single" w:color="AABFD8" w:sz="1"/>
              <w:left w:val="single" w:color="AABFD8" w:sz="1"/>
              <w:bottom w:val="single" w:color="AABFD8" w:sz="1"/>
              <w:right w:val="single" w:color="AABFD8" w:sz="1"/>
            </w:tcBorders>
            <w:shd w:fill="2E5D9E" w:val="clear"/>
            <w:tcMar>
              <w:top w:type="dxa" w:w="80"/>
              <w:left w:type="dxa" w:w="100"/>
              <w:bottom w:type="dxa" w:w="80"/>
              <w:right w:type="dxa" w:w="100"/>
            </w:tcMar>
          </w:tcPr>
          <w:p>
            <w:r>
              <w:rPr>
                <w:rFonts w:ascii="Arial" w:cs="Arial" w:eastAsia="Arial" w:hAnsi="Arial"/>
                <w:b/>
                <w:bCs/>
                <w:color w:val="FFFFFF"/>
                <w:sz w:val="20"/>
                <w:szCs w:val="20"/>
              </w:rPr>
              <w:t xml:space="preserve">Commercial Law Permissible?</w:t>
            </w:r>
          </w:p>
        </w:tc>
      </w:tr>
      <w:tr>
        <w:tc>
          <w:tcPr>
            <w:tcW w:type="dxa" w:w="21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Linear (AfA)</w:t>
            </w:r>
          </w:p>
        </w:tc>
        <w:tc>
          <w:tcPr>
            <w:tcW w:type="dxa" w:w="20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 7 Abs. 1 S. 1 EStG</w:t>
            </w:r>
          </w:p>
        </w:tc>
        <w:tc>
          <w:tcPr>
            <w:tcW w:type="dxa" w:w="356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2% p.a. / 50 yrs (post-1925 to 2022)
2.5% / 40 yrs (pre-1925)
3% / ~33 yrs (post-2022)</w:t>
            </w:r>
          </w:p>
        </w:tc>
        <w:tc>
          <w:tcPr>
            <w:tcW w:type="dxa" w:w="17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Yes</w:t>
            </w:r>
          </w:p>
        </w:tc>
      </w:tr>
      <w:tr>
        <w:tc>
          <w:tcPr>
            <w:tcW w:type="dxa" w:w="21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Degressive</w:t>
            </w:r>
          </w:p>
        </w:tc>
        <w:tc>
          <w:tcPr>
            <w:tcW w:type="dxa" w:w="20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 7 Abs. 2 EStG</w:t>
            </w:r>
          </w:p>
        </w:tc>
        <w:tc>
          <w:tcPr>
            <w:tcW w:type="dxa" w:w="356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5% of acquisition cost yr 1; 5% of residual value thereafter. New builds, construction start/acquisition 01.10.2023–30.09.2029</w:t>
            </w:r>
          </w:p>
        </w:tc>
        <w:tc>
          <w:tcPr>
            <w:tcW w:type="dxa" w:w="17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No</w:t>
            </w:r>
          </w:p>
        </w:tc>
      </w:tr>
      <w:tr>
        <w:tc>
          <w:tcPr>
            <w:tcW w:type="dxa" w:w="21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Short-lived assets</w:t>
            </w:r>
          </w:p>
        </w:tc>
        <w:tc>
          <w:tcPr>
            <w:tcW w:type="dxa" w:w="20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 7 Abs. 1 S. 1 EStG</w:t>
            </w:r>
          </w:p>
        </w:tc>
        <w:tc>
          <w:tcPr>
            <w:tcW w:type="dxa" w:w="356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Full deduction in acquisition year (useful life ≤ 1 yr)</w:t>
            </w:r>
          </w:p>
        </w:tc>
        <w:tc>
          <w:tcPr>
            <w:tcW w:type="dxa" w:w="17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Yes</w:t>
            </w:r>
          </w:p>
        </w:tc>
      </w:tr>
      <w:tr>
        <w:tc>
          <w:tcPr>
            <w:tcW w:type="dxa" w:w="21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Units of output</w:t>
            </w:r>
          </w:p>
        </w:tc>
        <w:tc>
          <w:tcPr>
            <w:tcW w:type="dxa" w:w="20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 7 Abs. 1 S. 6 EStG</w:t>
            </w:r>
          </w:p>
        </w:tc>
        <w:tc>
          <w:tcPr>
            <w:tcW w:type="dxa" w:w="356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Movable fixed assets; output attributable to period must be evidenced</w:t>
            </w:r>
          </w:p>
        </w:tc>
        <w:tc>
          <w:tcPr>
            <w:tcW w:type="dxa" w:w="17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Yes</w:t>
            </w:r>
          </w:p>
        </w:tc>
      </w:tr>
      <w:tr>
        <w:tc>
          <w:tcPr>
            <w:tcW w:type="dxa" w:w="21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AfaA (extraordinary wear)</w:t>
            </w:r>
          </w:p>
        </w:tc>
        <w:tc>
          <w:tcPr>
            <w:tcW w:type="dxa" w:w="20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 7 Abs. 1 S. 7 EStG</w:t>
            </w:r>
          </w:p>
        </w:tc>
        <w:tc>
          <w:tcPr>
            <w:tcW w:type="dxa" w:w="356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All depreciable assets; deduction per actual extraordinary degradation</w:t>
            </w:r>
          </w:p>
        </w:tc>
        <w:tc>
          <w:tcPr>
            <w:tcW w:type="dxa" w:w="17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Yes</w:t>
            </w:r>
          </w:p>
        </w:tc>
      </w:tr>
      <w:tr>
        <w:tc>
          <w:tcPr>
            <w:tcW w:type="dxa" w:w="21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Goodwill (15-yr linear)</w:t>
            </w:r>
          </w:p>
        </w:tc>
        <w:tc>
          <w:tcPr>
            <w:tcW w:type="dxa" w:w="20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 7 Abs. 1 S. 3 EStG</w:t>
            </w:r>
          </w:p>
        </w:tc>
        <w:tc>
          <w:tcPr>
            <w:tcW w:type="dxa" w:w="356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Commercial/agricultural enterprise goodwill; 15 yrs or estimated useful life</w:t>
            </w:r>
          </w:p>
        </w:tc>
        <w:tc>
          <w:tcPr>
            <w:tcW w:type="dxa" w:w="17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Yes</w:t>
            </w:r>
          </w:p>
        </w:tc>
      </w:tr>
      <w:tr>
        <w:tc>
          <w:tcPr>
            <w:tcW w:type="dxa" w:w="21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Monument / listed building</w:t>
            </w:r>
          </w:p>
        </w:tc>
        <w:tc>
          <w:tcPr>
            <w:tcW w:type="dxa" w:w="20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 7i / § 10f EStG</w:t>
            </w:r>
          </w:p>
        </w:tc>
        <w:tc>
          <w:tcPr>
            <w:tcW w:type="dxa" w:w="356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9% for 8 yrs, then 7% for 4 yrs (on qualifying restoration costs)</w:t>
            </w:r>
          </w:p>
        </w:tc>
        <w:tc>
          <w:tcPr>
            <w:tcW w:type="dxa" w:w="17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Special provisions</w:t>
            </w:r>
          </w:p>
        </w:tc>
      </w:tr>
      <w:tr>
        <w:tc>
          <w:tcPr>
            <w:tcW w:type="dxa" w:w="21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Low-value asset (GWG)</w:t>
            </w:r>
          </w:p>
        </w:tc>
        <w:tc>
          <w:tcPr>
            <w:tcW w:type="dxa" w:w="20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 6 Abs. 2a EStG</w:t>
            </w:r>
          </w:p>
        </w:tc>
        <w:tc>
          <w:tcPr>
            <w:tcW w:type="dxa" w:w="356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Immediate write-off ≤ €250 net; collective pool €250–€1,000 net over 5 yrs</w:t>
            </w:r>
          </w:p>
        </w:tc>
        <w:tc>
          <w:tcPr>
            <w:tcW w:type="dxa" w:w="17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Yes</w:t>
            </w:r>
          </w:p>
        </w:tc>
      </w:tr>
      <w:tr>
        <w:tc>
          <w:tcPr>
            <w:tcW w:type="dxa" w:w="21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Investitionsabzugsbetrag reduction</w:t>
            </w:r>
          </w:p>
        </w:tc>
        <w:tc>
          <w:tcPr>
            <w:tcW w:type="dxa" w:w="20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 7g Abs. 2 EStG</w:t>
            </w:r>
          </w:p>
        </w:tc>
        <w:tc>
          <w:tcPr>
            <w:tcW w:type="dxa" w:w="356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Acquisition/production costs reduced by released IAB amount before standard AfA</w:t>
            </w:r>
          </w:p>
        </w:tc>
        <w:tc>
          <w:tcPr>
            <w:tcW w:type="dxa" w:w="17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Yes</w:t>
            </w:r>
          </w:p>
        </w:tc>
      </w:tr>
    </w:tbl>
    <w:p>
      <w:pPr>
        <w:spacing w:after="180"/>
      </w:pPr>
    </w:p>
    <w:tbl>
      <w:tblPr>
        <w:tblW w:type="dxa" w:w="2800"/>
        <w:tblBorders>
          <w:top w:val="single" w:color="auto" w:sz="4"/>
          <w:left w:val="single" w:color="auto" w:sz="4"/>
          <w:bottom w:val="single" w:color="auto" w:sz="4"/>
          <w:right w:val="single" w:color="auto" w:sz="4"/>
          <w:insideH w:val="single" w:color="auto" w:sz="4"/>
          <w:insideV w:val="single" w:color="auto" w:sz="4"/>
        </w:tblBorders>
      </w:tblPr>
      <w:tblGrid>
        <w:gridCol w:w="2800"/>
      </w:tblGrid>
      <w:tr>
        <w:tc>
          <w:tcPr>
            <w:tcBorders>
              <w:top w:val="none" w:color="FFFFFF" w:sz="0"/>
              <w:left w:val="none" w:color="FFFFFF" w:sz="0"/>
              <w:bottom w:val="none" w:color="FFFFFF" w:sz="0"/>
              <w:right w:val="none" w:color="FFFFFF" w:sz="0"/>
            </w:tcBorders>
            <w:shd w:fill="2E5D9E" w:val="clear"/>
            <w:tcMar>
              <w:top w:type="dxa" w:w="60"/>
              <w:left w:type="dxa" w:w="160"/>
              <w:bottom w:type="dxa" w:w="60"/>
              <w:right w:type="dxa" w:w="160"/>
            </w:tcMar>
          </w:tcPr>
          <w:p>
            <w:pPr>
              <w:jc w:val="center"/>
            </w:pPr>
            <w:r>
              <w:rPr>
                <w:rFonts w:ascii="Arial" w:cs="Arial" w:eastAsia="Arial" w:hAnsi="Arial"/>
                <w:b/>
                <w:bCs/>
                <w:color w:val="FFFFFF"/>
                <w:sz w:val="18"/>
                <w:szCs w:val="18"/>
              </w:rPr>
              <w:t xml:space="preserve">02 · LEGAL CONTEXT</w:t>
            </w:r>
          </w:p>
        </w:tc>
      </w:tr>
    </w:tbl>
    <w:p>
      <w:pPr>
        <w:spacing w:after="80"/>
      </w:pPr>
    </w:p>
    <w:p>
      <w:pPr>
        <w:pStyle w:val="Heading1"/>
        <w:pBdr>
          <w:bottom w:val="single" w:color="2E5D9E" w:sz="8" w:space="6"/>
        </w:pBdr>
        <w:spacing w:after="120" w:before="360"/>
      </w:pPr>
      <w:r>
        <w:rPr>
          <w:rFonts w:ascii="Arial" w:cs="Arial" w:eastAsia="Arial" w:hAnsi="Arial"/>
          <w:b/>
          <w:bCs/>
          <w:color w:val="1A1A2E"/>
          <w:sz w:val="36"/>
          <w:szCs w:val="36"/>
        </w:rPr>
        <w:t xml:space="preserve">The Statutory Framework</w:t>
      </w:r>
    </w:p>
    <w:p>
      <w:pPr>
        <w:pStyle w:val="Heading2"/>
        <w:spacing w:after="80" w:before="280"/>
      </w:pPr>
      <w:r>
        <w:rPr>
          <w:rFonts w:ascii="Arial" w:cs="Arial" w:eastAsia="Arial" w:hAnsi="Arial"/>
          <w:b/>
          <w:bCs/>
          <w:color w:val="2E5D9E"/>
          <w:sz w:val="28"/>
          <w:szCs w:val="28"/>
        </w:rPr>
        <w:t xml:space="preserve">Land/Building Split: The Foundation of Every AfA Calculation</w:t>
      </w:r>
    </w:p>
    <w:p>
      <w:pPr>
        <w:spacing w:after="120"/>
      </w:pPr>
      <w:r>
        <w:rPr>
          <w:rFonts w:ascii="Arial" w:cs="Arial" w:eastAsia="Arial" w:hAnsi="Arial"/>
          <w:color w:val="333333"/>
          <w:sz w:val="22"/>
          <w:szCs w:val="22"/>
        </w:rPr>
        <w:t xml:space="preserve">The Finanzamt applies the Sachwertverfahren or Bodenrichtwert to allocate purchase price between land and structure. Investors frequently accept this default split without challenge — and systematically understate their depreciable base. A certified appraisal (Verkehrswertgutachten) by a Sachverständiger, or the official Grundsteuerbescheid, is the appropriate instrument to establish and defend an alternative allocation. Overstatement of building value exposes the position to audit; an allocation supported by documented methodology does not.</w:t>
      </w:r>
    </w:p>
    <w:p>
      <w:pPr>
        <w:pStyle w:val="Heading2"/>
        <w:spacing w:after="80" w:before="280"/>
      </w:pPr>
      <w:r>
        <w:rPr>
          <w:rFonts w:ascii="Arial" w:cs="Arial" w:eastAsia="Arial" w:hAnsi="Arial"/>
          <w:b/>
          <w:bCs/>
          <w:color w:val="2E5D9E"/>
          <w:sz w:val="28"/>
          <w:szCs w:val="28"/>
        </w:rPr>
        <w:t xml:space="preserve">Degressive AfA and the 2023 Reform</w:t>
      </w:r>
    </w:p>
    <w:p>
      <w:pPr>
        <w:spacing w:after="120"/>
      </w:pPr>
      <w:r>
        <w:rPr>
          <w:rFonts w:ascii="Arial" w:cs="Arial" w:eastAsia="Arial" w:hAnsi="Arial"/>
          <w:color w:val="333333"/>
          <w:sz w:val="22"/>
          <w:szCs w:val="22"/>
        </w:rPr>
        <w:t xml:space="preserve">The Jahressteuergesetz 2022 reintroduced degressive depreciation (§ 7 Abs. 2 EStG) for new residential construction — a method unavailable since 2011. The key parameters:</w:t>
      </w:r>
    </w:p>
    <w:p>
      <w:pPr>
        <w:pStyle w:val="ListParagraph"/>
        <w:numPr>
          <w:ilvl w:val="0"/>
          <w:numId w:val="2"/>
        </w:numPr>
        <w:spacing w:after="80"/>
      </w:pPr>
      <w:r>
        <w:rPr>
          <w:rFonts w:ascii="Arial" w:cs="Arial" w:eastAsia="Arial" w:hAnsi="Arial"/>
          <w:b/>
          <w:bCs/>
          <w:color w:val="1A1A2E"/>
          <w:sz w:val="22"/>
          <w:szCs w:val="22"/>
        </w:rPr>
        <w:t xml:space="preserve">Applies to: </w:t>
      </w:r>
      <w:r>
        <w:rPr>
          <w:rFonts w:ascii="Arial" w:cs="Arial" w:eastAsia="Arial" w:hAnsi="Arial"/>
          <w:color w:val="333333"/>
          <w:sz w:val="22"/>
          <w:szCs w:val="22"/>
        </w:rPr>
        <w:t xml:space="preserve">new builds where construction commenced between 01.10.2023 and 30.09.2029, or first acquisitions within that window</w:t>
      </w:r>
    </w:p>
    <w:p>
      <w:pPr>
        <w:pStyle w:val="ListParagraph"/>
        <w:numPr>
          <w:ilvl w:val="0"/>
          <w:numId w:val="2"/>
        </w:numPr>
        <w:spacing w:after="80"/>
      </w:pPr>
      <w:r>
        <w:rPr>
          <w:rFonts w:ascii="Arial" w:cs="Arial" w:eastAsia="Arial" w:hAnsi="Arial"/>
          <w:b/>
          <w:bCs/>
          <w:color w:val="1A1A2E"/>
          <w:sz w:val="22"/>
          <w:szCs w:val="22"/>
        </w:rPr>
        <w:t xml:space="preserve">Year 1: </w:t>
      </w:r>
      <w:r>
        <w:rPr>
          <w:rFonts w:ascii="Arial" w:cs="Arial" w:eastAsia="Arial" w:hAnsi="Arial"/>
          <w:color w:val="333333"/>
          <w:sz w:val="22"/>
          <w:szCs w:val="22"/>
        </w:rPr>
        <w:t xml:space="preserve">5% of total acquisition/production cost</w:t>
      </w:r>
    </w:p>
    <w:p>
      <w:pPr>
        <w:pStyle w:val="ListParagraph"/>
        <w:numPr>
          <w:ilvl w:val="0"/>
          <w:numId w:val="2"/>
        </w:numPr>
        <w:spacing w:after="80"/>
      </w:pPr>
      <w:r>
        <w:rPr>
          <w:rFonts w:ascii="Arial" w:cs="Arial" w:eastAsia="Arial" w:hAnsi="Arial"/>
          <w:b/>
          <w:bCs/>
          <w:color w:val="1A1A2E"/>
          <w:sz w:val="22"/>
          <w:szCs w:val="22"/>
        </w:rPr>
        <w:t xml:space="preserve">Subsequent years: </w:t>
      </w:r>
      <w:r>
        <w:rPr>
          <w:rFonts w:ascii="Arial" w:cs="Arial" w:eastAsia="Arial" w:hAnsi="Arial"/>
          <w:color w:val="333333"/>
          <w:sz w:val="22"/>
          <w:szCs w:val="22"/>
        </w:rPr>
        <w:t xml:space="preserve">5% of the declining residual book value</w:t>
      </w:r>
    </w:p>
    <w:p>
      <w:pPr>
        <w:pStyle w:val="ListParagraph"/>
        <w:numPr>
          <w:ilvl w:val="0"/>
          <w:numId w:val="2"/>
        </w:numPr>
        <w:spacing w:after="80"/>
      </w:pPr>
      <w:r>
        <w:rPr>
          <w:rFonts w:ascii="Arial" w:cs="Arial" w:eastAsia="Arial" w:hAnsi="Arial"/>
          <w:b/>
          <w:bCs/>
          <w:color w:val="1A1A2E"/>
          <w:sz w:val="22"/>
          <w:szCs w:val="22"/>
        </w:rPr>
        <w:t xml:space="preserve">Switch option: </w:t>
      </w:r>
      <w:r>
        <w:rPr>
          <w:rFonts w:ascii="Arial" w:cs="Arial" w:eastAsia="Arial" w:hAnsi="Arial"/>
          <w:color w:val="333333"/>
          <w:sz w:val="22"/>
          <w:szCs w:val="22"/>
        </w:rPr>
        <w:t xml:space="preserve">you may switch from degressive to linear in any year — strategically useful when the linear rate exceeds the declining degressive rate</w:t>
      </w:r>
    </w:p>
    <w:p>
      <w:pPr>
        <w:spacing w:after="120"/>
      </w:pPr>
      <w:r>
        <w:rPr>
          <w:rFonts w:ascii="Arial" w:cs="Arial" w:eastAsia="Arial" w:hAnsi="Arial"/>
          <w:color w:val="333333"/>
          <w:sz w:val="22"/>
          <w:szCs w:val="22"/>
        </w:rPr>
        <w:t xml:space="preserve">For a €1,000,000 new-build (land excluded), degressive AfA generates €50,000 in year one versus €20,000 under the standard linear method — a €30,000 incremental taxable-income reduction that compounds in the early high-cash-flow years of a leveraged acquisition.</w:t>
      </w:r>
    </w:p>
    <w:p>
      <w:pPr>
        <w:spacing w:after="80"/>
      </w:pPr>
    </w:p>
    <w:p>
      <w:pPr>
        <w:pStyle w:val="Heading2"/>
        <w:spacing w:after="80" w:before="280"/>
      </w:pPr>
      <w:r>
        <w:rPr>
          <w:rFonts w:ascii="Arial" w:cs="Arial" w:eastAsia="Arial" w:hAnsi="Arial"/>
          <w:b/>
          <w:bCs/>
          <w:color w:val="2E5D9E"/>
          <w:sz w:val="28"/>
          <w:szCs w:val="28"/>
        </w:rPr>
        <w:t xml:space="preserve">Double Taxation Treaties and Cross-Border Investors</w:t>
      </w:r>
    </w:p>
    <w:p>
      <w:pPr>
        <w:spacing w:after="120"/>
      </w:pPr>
      <w:r>
        <w:rPr>
          <w:rFonts w:ascii="Arial" w:cs="Arial" w:eastAsia="Arial" w:hAnsi="Arial"/>
          <w:color w:val="333333"/>
          <w:sz w:val="22"/>
          <w:szCs w:val="22"/>
        </w:rPr>
        <w:t xml:space="preserve">Germany has concluded DTTs with over 90 jurisdictions. For real property income, the standard allocation rule grants Germany primary taxation rights as the situs state (Article 6, OECD Model). Your home jurisdiction then either exempts the income (exemption method) or credits the German tax (credit method). The practical implications:</w:t>
      </w:r>
    </w:p>
    <w:p>
      <w:pPr>
        <w:pStyle w:val="ListParagraph"/>
        <w:numPr>
          <w:ilvl w:val="0"/>
          <w:numId w:val="2"/>
        </w:numPr>
        <w:spacing w:after="80"/>
      </w:pPr>
      <w:r>
        <w:rPr>
          <w:rFonts w:ascii="Arial" w:cs="Arial" w:eastAsia="Arial" w:hAnsi="Arial"/>
          <w:b/>
          <w:bCs/>
          <w:color w:val="1A1A2E"/>
          <w:sz w:val="22"/>
          <w:szCs w:val="22"/>
        </w:rPr>
        <w:t xml:space="preserve">AfA and interest deductions reduce German taxable income — and therefore the tax credit or exemption available in your residence state. </w:t>
      </w:r>
      <w:r>
        <w:rPr>
          <w:rFonts w:ascii="Arial" w:cs="Arial" w:eastAsia="Arial" w:hAnsi="Arial"/>
          <w:color w:val="333333"/>
          <w:sz w:val="22"/>
          <w:szCs w:val="22"/>
        </w:rPr>
        <w:t xml:space="preserve">Maximising German deductions in low-yield years is not always the correct global optimisation.</w:t>
      </w:r>
    </w:p>
    <w:p>
      <w:pPr>
        <w:pStyle w:val="ListParagraph"/>
        <w:numPr>
          <w:ilvl w:val="0"/>
          <w:numId w:val="2"/>
        </w:numPr>
        <w:spacing w:after="80"/>
      </w:pPr>
      <w:r>
        <w:rPr>
          <w:rFonts w:ascii="Arial" w:cs="Arial" w:eastAsia="Arial" w:hAnsi="Arial"/>
          <w:b/>
          <w:bCs/>
          <w:color w:val="1A1A2E"/>
          <w:sz w:val="22"/>
          <w:szCs w:val="22"/>
        </w:rPr>
        <w:t xml:space="preserve">Withholding tax on gross rents (§ 49 EStG, 15.825% including Solidaritätszuschlag) </w:t>
      </w:r>
      <w:r>
        <w:rPr>
          <w:rFonts w:ascii="Arial" w:cs="Arial" w:eastAsia="Arial" w:hAnsi="Arial"/>
          <w:color w:val="333333"/>
          <w:sz w:val="22"/>
          <w:szCs w:val="22"/>
        </w:rPr>
        <w:t xml:space="preserve">applies to non-residents unless a Veranlagungsantrag is filed — shifting to net-income assessment and enabling full deduction of AfA, interest, and operating costs.</w:t>
      </w:r>
    </w:p>
    <w:p>
      <w:pPr>
        <w:pStyle w:val="ListParagraph"/>
        <w:numPr>
          <w:ilvl w:val="0"/>
          <w:numId w:val="2"/>
        </w:numPr>
        <w:spacing w:after="80"/>
      </w:pPr>
      <w:r>
        <w:rPr>
          <w:rFonts w:ascii="Arial" w:cs="Arial" w:eastAsia="Arial" w:hAnsi="Arial"/>
          <w:b/>
          <w:bCs/>
          <w:color w:val="1A1A2E"/>
          <w:sz w:val="22"/>
          <w:szCs w:val="22"/>
        </w:rPr>
        <w:t xml:space="preserve">Körperschaftsteuer vs. Einkommensteuer: </w:t>
      </w:r>
      <w:r>
        <w:rPr>
          <w:rFonts w:ascii="Arial" w:cs="Arial" w:eastAsia="Arial" w:hAnsi="Arial"/>
          <w:color w:val="333333"/>
          <w:sz w:val="22"/>
          <w:szCs w:val="22"/>
        </w:rPr>
        <w:t xml:space="preserve">income held in a GmbH is taxed at 15% KSt + 15% GewSt (approx.) vs. personal marginal rates up to 45% + SolZ. The break-even depends on distribution intent and personal tax residency.</w:t>
      </w:r>
    </w:p>
    <w:p>
      <w:pPr>
        <w:spacing w:after="80"/>
      </w:pPr>
    </w:p>
    <w:p>
      <w:pPr>
        <w:pStyle w:val="Heading2"/>
        <w:spacing w:after="80" w:before="280"/>
      </w:pPr>
      <w:r>
        <w:rPr>
          <w:rFonts w:ascii="Arial" w:cs="Arial" w:eastAsia="Arial" w:hAnsi="Arial"/>
          <w:b/>
          <w:bCs/>
          <w:color w:val="2E5D9E"/>
          <w:sz w:val="28"/>
          <w:szCs w:val="28"/>
        </w:rPr>
        <w:t xml:space="preserve">Inheritance, Gifts, and the Step-Up Mechanism</w:t>
      </w:r>
    </w:p>
    <w:p>
      <w:pPr>
        <w:spacing w:after="120"/>
      </w:pPr>
      <w:r>
        <w:rPr>
          <w:rFonts w:ascii="Arial" w:cs="Arial" w:eastAsia="Arial" w:hAnsi="Arial"/>
          <w:color w:val="333333"/>
          <w:sz w:val="22"/>
          <w:szCs w:val="22"/>
        </w:rPr>
        <w:t xml:space="preserve">German inheritance tax (Erbschaftsteuer, § 12 ErbStG) values real property at Grundbesitzwert, which approximates market value under the Bewertungsgesetz. The critical structural advantage:</w:t>
      </w:r>
    </w:p>
    <w:p>
      <w:pPr>
        <w:spacing w:after="120"/>
      </w:pPr>
      <w:r>
        <w:rPr>
          <w:rFonts w:ascii="Arial" w:cs="Arial" w:eastAsia="Arial" w:hAnsi="Arial"/>
          <w:color w:val="333333"/>
          <w:sz w:val="22"/>
          <w:szCs w:val="22"/>
        </w:rPr>
        <w:t xml:space="preserve">On inheritance, the heir acquires the property at the probate date market value — the AfA base resets to full market value. The heir can begin a new 50-year (or applicable) depreciation schedule from zero. This step-up does not apply to inter vivos transfers (Schenkungen), where the donor's original acquisition cost carries 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ABFD8" w:sz="1"/>
              <w:left w:val="single" w:color="AABFD8" w:sz="1"/>
              <w:bottom w:val="single" w:color="AABFD8" w:sz="1"/>
              <w:right w:val="single" w:color="AABFD8" w:sz="1"/>
            </w:tcBorders>
            <w:shd w:fill="2E5D9E" w:val="clear"/>
            <w:tcMar>
              <w:top w:type="dxa" w:w="80"/>
              <w:left w:type="dxa" w:w="120"/>
              <w:bottom w:type="dxa" w:w="80"/>
              <w:right w:type="dxa" w:w="120"/>
            </w:tcMar>
          </w:tcPr>
          <w:p>
            <w:r>
              <w:rPr>
                <w:rFonts w:ascii="Arial" w:cs="Arial" w:eastAsia="Arial" w:hAnsi="Arial"/>
                <w:b/>
                <w:bCs/>
                <w:color w:val="FFFFFF"/>
                <w:sz w:val="22"/>
                <w:szCs w:val="22"/>
              </w:rPr>
              <w:t xml:space="preserve">Inheritance (Erbschaft)</w:t>
            </w:r>
          </w:p>
        </w:tc>
        <w:tc>
          <w:tcPr>
            <w:tcW w:type="dxa" w:w="4680"/>
            <w:tcBorders>
              <w:top w:val="single" w:color="AABFD8" w:sz="1"/>
              <w:left w:val="single" w:color="AABFD8" w:sz="1"/>
              <w:bottom w:val="single" w:color="AABFD8" w:sz="1"/>
              <w:right w:val="single" w:color="AABFD8" w:sz="1"/>
            </w:tcBorders>
            <w:shd w:fill="2E5D9E" w:val="clear"/>
            <w:tcMar>
              <w:top w:type="dxa" w:w="80"/>
              <w:left w:type="dxa" w:w="120"/>
              <w:bottom w:type="dxa" w:w="80"/>
              <w:right w:type="dxa" w:w="120"/>
            </w:tcMar>
          </w:tcPr>
          <w:p>
            <w:r>
              <w:rPr>
                <w:rFonts w:ascii="Arial" w:cs="Arial" w:eastAsia="Arial" w:hAnsi="Arial"/>
                <w:b/>
                <w:bCs/>
                <w:color w:val="FFFFFF"/>
                <w:sz w:val="22"/>
                <w:szCs w:val="22"/>
              </w:rPr>
              <w:t xml:space="preserve">Inter Vivos Gift (Schenkung)</w:t>
            </w:r>
          </w:p>
        </w:tc>
      </w:tr>
      <w:tr>
        <w:tc>
          <w:tcPr>
            <w:tcW w:type="dxa" w:w="4680"/>
            <w:tcBorders>
              <w:top w:val="single" w:color="AABFD8" w:sz="1"/>
              <w:left w:val="single" w:color="AABFD8" w:sz="1"/>
              <w:bottom w:val="single" w:color="AABFD8" w:sz="1"/>
              <w:right w:val="single" w:color="AABFD8" w:sz="1"/>
            </w:tcBorders>
            <w:shd w:fill="EEF3FA" w:val="clear"/>
            <w:tcMar>
              <w:top w:type="dxa" w:w="80"/>
              <w:left w:type="dxa" w:w="120"/>
              <w:bottom w:type="dxa" w:w="80"/>
              <w:right w:type="dxa" w:w="120"/>
            </w:tcMar>
          </w:tcPr>
          <w:p>
            <w:r>
              <w:rPr>
                <w:rFonts w:ascii="Arial" w:cs="Arial" w:eastAsia="Arial" w:hAnsi="Arial"/>
                <w:color w:val="333333"/>
                <w:sz w:val="22"/>
                <w:szCs w:val="22"/>
              </w:rPr>
              <w:t xml:space="preserve">AfA base resets to market value at date of death</w:t>
            </w:r>
          </w:p>
        </w:tc>
        <w:tc>
          <w:tcPr>
            <w:tcW w:type="dxa" w:w="4680"/>
            <w:tcBorders>
              <w:top w:val="single" w:color="AABFD8" w:sz="1"/>
              <w:left w:val="single" w:color="AABFD8" w:sz="1"/>
              <w:bottom w:val="single" w:color="AABFD8" w:sz="1"/>
              <w:right w:val="single" w:color="AABFD8" w:sz="1"/>
            </w:tcBorders>
            <w:shd w:fill="EEF3FA" w:val="clear"/>
            <w:tcMar>
              <w:top w:type="dxa" w:w="80"/>
              <w:left w:type="dxa" w:w="120"/>
              <w:bottom w:type="dxa" w:w="80"/>
              <w:right w:type="dxa" w:w="120"/>
            </w:tcMar>
          </w:tcPr>
          <w:p>
            <w:r>
              <w:rPr>
                <w:rFonts w:ascii="Arial" w:cs="Arial" w:eastAsia="Arial" w:hAnsi="Arial"/>
                <w:color w:val="333333"/>
                <w:sz w:val="22"/>
                <w:szCs w:val="22"/>
              </w:rPr>
              <w:t xml:space="preserve">Donor's original acquisition cost carries over — no step-up</w:t>
            </w:r>
          </w:p>
        </w:tc>
      </w:tr>
      <w:tr>
        <w:tc>
          <w:tcPr>
            <w:tcW w:type="dxa" w:w="4680"/>
            <w:tcBorders>
              <w:top w:val="single" w:color="AABFD8" w:sz="1"/>
              <w:left w:val="single" w:color="AABFD8" w:sz="1"/>
              <w:bottom w:val="single" w:color="AABFD8" w:sz="1"/>
              <w:right w:val="single" w:color="AABFD8" w:sz="1"/>
            </w:tcBorders>
            <w:shd w:fill="FFFFFF" w:val="clear"/>
            <w:tcMar>
              <w:top w:type="dxa" w:w="80"/>
              <w:left w:type="dxa" w:w="120"/>
              <w:bottom w:type="dxa" w:w="80"/>
              <w:right w:type="dxa" w:w="120"/>
            </w:tcMar>
          </w:tcPr>
          <w:p>
            <w:r>
              <w:rPr>
                <w:rFonts w:ascii="Arial" w:cs="Arial" w:eastAsia="Arial" w:hAnsi="Arial"/>
                <w:color w:val="333333"/>
                <w:sz w:val="22"/>
                <w:szCs w:val="22"/>
              </w:rPr>
              <w:t xml:space="preserve">Personal allowances: €400,000 (spouse), €400,000 (child) per 10-year cycle</w:t>
            </w:r>
          </w:p>
        </w:tc>
        <w:tc>
          <w:tcPr>
            <w:tcW w:type="dxa" w:w="4680"/>
            <w:tcBorders>
              <w:top w:val="single" w:color="AABFD8" w:sz="1"/>
              <w:left w:val="single" w:color="AABFD8" w:sz="1"/>
              <w:bottom w:val="single" w:color="AABFD8" w:sz="1"/>
              <w:right w:val="single" w:color="AABFD8" w:sz="1"/>
            </w:tcBorders>
            <w:shd w:fill="FFFFFF" w:val="clear"/>
            <w:tcMar>
              <w:top w:type="dxa" w:w="80"/>
              <w:left w:type="dxa" w:w="120"/>
              <w:bottom w:type="dxa" w:w="80"/>
              <w:right w:type="dxa" w:w="120"/>
            </w:tcMar>
          </w:tcPr>
          <w:p>
            <w:r>
              <w:rPr>
                <w:rFonts w:ascii="Arial" w:cs="Arial" w:eastAsia="Arial" w:hAnsi="Arial"/>
                <w:color w:val="333333"/>
                <w:sz w:val="22"/>
                <w:szCs w:val="22"/>
              </w:rPr>
              <w:t xml:space="preserve">Same allowances apply; gift tax rates mirror inheritance tax rates</w:t>
            </w:r>
          </w:p>
        </w:tc>
      </w:tr>
      <w:tr>
        <w:tc>
          <w:tcPr>
            <w:tcW w:type="dxa" w:w="4680"/>
            <w:tcBorders>
              <w:top w:val="single" w:color="AABFD8" w:sz="1"/>
              <w:left w:val="single" w:color="AABFD8" w:sz="1"/>
              <w:bottom w:val="single" w:color="AABFD8" w:sz="1"/>
              <w:right w:val="single" w:color="AABFD8" w:sz="1"/>
            </w:tcBorders>
            <w:shd w:fill="EEF3FA" w:val="clear"/>
            <w:tcMar>
              <w:top w:type="dxa" w:w="80"/>
              <w:left w:type="dxa" w:w="120"/>
              <w:bottom w:type="dxa" w:w="80"/>
              <w:right w:type="dxa" w:w="120"/>
            </w:tcMar>
          </w:tcPr>
          <w:p>
            <w:r>
              <w:rPr>
                <w:rFonts w:ascii="Arial" w:cs="Arial" w:eastAsia="Arial" w:hAnsi="Arial"/>
                <w:color w:val="333333"/>
                <w:sz w:val="22"/>
                <w:szCs w:val="22"/>
              </w:rPr>
              <w:t xml:space="preserve">Speculative gain (§ 23 EStG) clock resets to zero for the heir</w:t>
            </w:r>
          </w:p>
        </w:tc>
        <w:tc>
          <w:tcPr>
            <w:tcW w:type="dxa" w:w="4680"/>
            <w:tcBorders>
              <w:top w:val="single" w:color="AABFD8" w:sz="1"/>
              <w:left w:val="single" w:color="AABFD8" w:sz="1"/>
              <w:bottom w:val="single" w:color="AABFD8" w:sz="1"/>
              <w:right w:val="single" w:color="AABFD8" w:sz="1"/>
            </w:tcBorders>
            <w:shd w:fill="EEF3FA" w:val="clear"/>
            <w:tcMar>
              <w:top w:type="dxa" w:w="80"/>
              <w:left w:type="dxa" w:w="120"/>
              <w:bottom w:type="dxa" w:w="80"/>
              <w:right w:type="dxa" w:w="120"/>
            </w:tcMar>
          </w:tcPr>
          <w:p>
            <w:r>
              <w:rPr>
                <w:rFonts w:ascii="Arial" w:cs="Arial" w:eastAsia="Arial" w:hAnsi="Arial"/>
                <w:color w:val="333333"/>
                <w:sz w:val="22"/>
                <w:szCs w:val="22"/>
              </w:rPr>
              <w:t xml:space="preserve">§ 23 EStG clock runs from donor's original acquisition date</w:t>
            </w:r>
          </w:p>
        </w:tc>
      </w:tr>
    </w:tbl>
    <w:p>
      <w:pPr>
        <w:spacing w:after="180"/>
      </w:pPr>
    </w:p>
    <w:tbl>
      <w:tblPr>
        <w:tblW w:type="dxa" w:w="2800"/>
        <w:tblBorders>
          <w:top w:val="single" w:color="auto" w:sz="4"/>
          <w:left w:val="single" w:color="auto" w:sz="4"/>
          <w:bottom w:val="single" w:color="auto" w:sz="4"/>
          <w:right w:val="single" w:color="auto" w:sz="4"/>
          <w:insideH w:val="single" w:color="auto" w:sz="4"/>
          <w:insideV w:val="single" w:color="auto" w:sz="4"/>
        </w:tblBorders>
      </w:tblPr>
      <w:tblGrid>
        <w:gridCol w:w="2800"/>
      </w:tblGrid>
      <w:tr>
        <w:tc>
          <w:tcPr>
            <w:tcBorders>
              <w:top w:val="none" w:color="FFFFFF" w:sz="0"/>
              <w:left w:val="none" w:color="FFFFFF" w:sz="0"/>
              <w:bottom w:val="none" w:color="FFFFFF" w:sz="0"/>
              <w:right w:val="none" w:color="FFFFFF" w:sz="0"/>
            </w:tcBorders>
            <w:shd w:fill="2E5D9E" w:val="clear"/>
            <w:tcMar>
              <w:top w:type="dxa" w:w="60"/>
              <w:left w:type="dxa" w:w="160"/>
              <w:bottom w:type="dxa" w:w="60"/>
              <w:right w:type="dxa" w:w="160"/>
            </w:tcMar>
          </w:tcPr>
          <w:p>
            <w:pPr>
              <w:jc w:val="center"/>
            </w:pPr>
            <w:r>
              <w:rPr>
                <w:rFonts w:ascii="Arial" w:cs="Arial" w:eastAsia="Arial" w:hAnsi="Arial"/>
                <w:b/>
                <w:bCs/>
                <w:color w:val="FFFFFF"/>
                <w:sz w:val="18"/>
                <w:szCs w:val="18"/>
              </w:rPr>
              <w:t xml:space="preserve">03 · ACTIONABLE STRATEGY</w:t>
            </w:r>
          </w:p>
        </w:tc>
      </w:tr>
    </w:tbl>
    <w:p>
      <w:pPr>
        <w:spacing w:after="80"/>
      </w:pPr>
    </w:p>
    <w:p>
      <w:pPr>
        <w:pStyle w:val="Heading1"/>
        <w:pBdr>
          <w:bottom w:val="single" w:color="2E5D9E" w:sz="8" w:space="6"/>
        </w:pBdr>
        <w:spacing w:after="120" w:before="360"/>
      </w:pPr>
      <w:r>
        <w:rPr>
          <w:rFonts w:ascii="Arial" w:cs="Arial" w:eastAsia="Arial" w:hAnsi="Arial"/>
          <w:b/>
          <w:bCs/>
          <w:color w:val="1A1A2E"/>
          <w:sz w:val="36"/>
          <w:szCs w:val="36"/>
        </w:rPr>
        <w:t xml:space="preserve">Structuring for Tax Efficiency</w:t>
      </w:r>
    </w:p>
    <w:p>
      <w:pPr>
        <w:pStyle w:val="Heading2"/>
        <w:spacing w:after="80" w:before="280"/>
      </w:pPr>
      <w:r>
        <w:rPr>
          <w:rFonts w:ascii="Arial" w:cs="Arial" w:eastAsia="Arial" w:hAnsi="Arial"/>
          <w:b/>
          <w:bCs/>
          <w:color w:val="2E5D9E"/>
          <w:sz w:val="28"/>
          <w:szCs w:val="28"/>
        </w:rPr>
        <w:t xml:space="preserve">1. Land/Building Allocation: Do Not Accept the Default</w:t>
      </w:r>
    </w:p>
    <w:p>
      <w:pPr>
        <w:spacing w:after="120"/>
      </w:pPr>
      <w:r>
        <w:rPr>
          <w:rFonts w:ascii="Arial" w:cs="Arial" w:eastAsia="Arial" w:hAnsi="Arial"/>
          <w:color w:val="333333"/>
          <w:sz w:val="22"/>
          <w:szCs w:val="22"/>
        </w:rPr>
        <w:t xml:space="preserve">Commission a Sachverständigengutachten before filing the first AfA claim. The split can legitimately range from 20/80 to 70/30 (land/building) depending on micro-location, year of construction, and structural condition. On a €1.5M acquisition, the difference between a 40% and 60% building allocation is €3,200/year in AfA — €160,000 over the standard 50-year schedule.</w:t>
      </w:r>
    </w:p>
    <w:p>
      <w:pPr>
        <w:pStyle w:val="Heading2"/>
        <w:spacing w:after="80" w:before="280"/>
      </w:pPr>
      <w:r>
        <w:rPr>
          <w:rFonts w:ascii="Arial" w:cs="Arial" w:eastAsia="Arial" w:hAnsi="Arial"/>
          <w:b/>
          <w:bCs/>
          <w:color w:val="2E5D9E"/>
          <w:sz w:val="28"/>
          <w:szCs w:val="28"/>
        </w:rPr>
        <w:t xml:space="preserve">2. Renovation Timing: Align Capital Expenditure with Tax Position</w:t>
      </w:r>
    </w:p>
    <w:p>
      <w:pPr>
        <w:spacing w:after="120"/>
      </w:pPr>
      <w:r>
        <w:rPr>
          <w:rFonts w:ascii="Arial" w:cs="Arial" w:eastAsia="Arial" w:hAnsi="Arial"/>
          <w:color w:val="333333"/>
          <w:sz w:val="22"/>
          <w:szCs w:val="22"/>
        </w:rPr>
        <w:t xml:space="preserve">For high-income years, accelerate Herstellungsaufwand to increase the depreciable base. For lower-income or loss years, defer to the following period or reclassify expenditure as Erhaltungsaufwand where the scope supports it. For properties acquired within the last 3 years, the anschaffungsnahe Herstellungskosten rule (§ 6 Abs. 1 Nr. 1a EStG) applies: if repair and maintenance costs exceed 15% of the building acquisition price within 3 years of purchase, they are capitalised — not immediately deductible. This trap is frequently triggered unintentionally.</w:t>
      </w:r>
    </w:p>
    <w:p>
      <w:pPr>
        <w:pStyle w:val="Heading2"/>
        <w:spacing w:after="80" w:before="280"/>
      </w:pPr>
      <w:r>
        <w:rPr>
          <w:rFonts w:ascii="Arial" w:cs="Arial" w:eastAsia="Arial" w:hAnsi="Arial"/>
          <w:b/>
          <w:bCs/>
          <w:color w:val="2E5D9E"/>
          <w:sz w:val="28"/>
          <w:szCs w:val="28"/>
        </w:rPr>
        <w:t xml:space="preserve">3. Loan Structure: Debt as a Tax Instrument</w:t>
      </w:r>
    </w:p>
    <w:p>
      <w:pPr>
        <w:spacing w:after="120"/>
      </w:pPr>
      <w:r>
        <w:rPr>
          <w:rFonts w:ascii="Arial" w:cs="Arial" w:eastAsia="Arial" w:hAnsi="Arial"/>
          <w:color w:val="333333"/>
          <w:sz w:val="22"/>
          <w:szCs w:val="22"/>
        </w:rPr>
        <w:t xml:space="preserve">Mortgage interest on income-producing property is fully deductible against rental income (Werbungskosten, § 9 EStG). Pairing a high-LTV loan with maximum AfA can produce a paper loss (Verlust aus Vermietung und Verpachtung) that offsets other income streams — legally. The mechanism:</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100"/>
        </w:tblCellMar>
      </w:tblPr>
      <w:tblGrid>
        <w:gridCol w:w="9360"/>
      </w:tblGrid>
      <w:tr>
        <w:tc>
          <w:tcPr>
            <w:tcBorders>
              <w:top w:val="single" w:color="2E5D9E" w:sz="12"/>
              <w:left w:val="single" w:color="2E5D9E" w:sz="20"/>
              <w:bottom w:val="none" w:color="FFFFFF" w:sz="0"/>
              <w:right w:val="none" w:color="FFFFFF" w:sz="0"/>
            </w:tcBorders>
            <w:shd w:fill="EEF3FA" w:val="clear"/>
            <w:tcMar>
              <w:top w:type="dxa" w:w="120"/>
              <w:left w:type="dxa" w:w="200"/>
              <w:bottom w:type="dxa" w:w="120"/>
              <w:right w:type="dxa" w:w="120"/>
            </w:tcMar>
          </w:tcPr>
          <w:p>
            <w:r>
              <w:rPr>
                <w:rFonts w:ascii="Arial" w:cs="Arial" w:eastAsia="Arial" w:hAnsi="Arial"/>
                <w:i/>
                <w:iCs/>
                <w:color w:val="1A1A2E"/>
                <w:sz w:val="22"/>
                <w:szCs w:val="22"/>
              </w:rPr>
              <w:t xml:space="preserve">Net rental yield 3.8% on €1.2M property = €45,600 gross income. AfA €16,000 + interest on €900K at 3.5% = €31,500 + management/operating costs €6,000 = €53,500 deductions. Taxable income from asset: −€7,900 — a loss that offsets salary or other rental income at the marginal rate.</w:t>
            </w:r>
          </w:p>
        </w:tc>
      </w:tr>
    </w:tbl>
    <w:p>
      <w:pPr>
        <w:spacing w:after="80"/>
      </w:pPr>
    </w:p>
    <w:p>
      <w:pPr>
        <w:spacing w:after="120"/>
      </w:pPr>
      <w:r>
        <w:rPr>
          <w:rFonts w:ascii="Arial" w:cs="Arial" w:eastAsia="Arial" w:hAnsi="Arial"/>
          <w:color w:val="333333"/>
          <w:sz w:val="22"/>
          <w:szCs w:val="22"/>
        </w:rPr>
        <w:t xml:space="preserve">On refinancing and equity release: provided the 10-year Spekulationsfrist (§ 23 EStG) has elapsed, a cash-out refinance triggered by appreciation does not realise a taxable gain. New loan proceeds are not taxable income; the interest on the increased loan is deductible against rental income.</w:t>
      </w:r>
    </w:p>
    <w:p>
      <w:pPr>
        <w:pStyle w:val="Heading2"/>
        <w:spacing w:after="80" w:before="280"/>
      </w:pPr>
      <w:r>
        <w:rPr>
          <w:rFonts w:ascii="Arial" w:cs="Arial" w:eastAsia="Arial" w:hAnsi="Arial"/>
          <w:b/>
          <w:bCs/>
          <w:color w:val="2E5D9E"/>
          <w:sz w:val="28"/>
          <w:szCs w:val="28"/>
        </w:rPr>
        <w:t xml:space="preserve">4. Holding Entity Selection: GmbH, GmbH &amp; Co. KG, or Personal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AABFD8" w:sz="1"/>
              <w:left w:val="single" w:color="AABFD8" w:sz="1"/>
              <w:bottom w:val="single" w:color="AABFD8" w:sz="1"/>
              <w:right w:val="single" w:color="AABFD8" w:sz="1"/>
            </w:tcBorders>
            <w:shd w:fill="2E5D9E" w:val="clear"/>
            <w:tcMar>
              <w:top w:type="dxa" w:w="80"/>
              <w:left w:type="dxa" w:w="100"/>
              <w:bottom w:type="dxa" w:w="80"/>
              <w:right w:type="dxa" w:w="100"/>
            </w:tcMar>
          </w:tcPr>
          <w:p>
            <w:r>
              <w:rPr>
                <w:rFonts w:ascii="Arial" w:cs="Arial" w:eastAsia="Arial" w:hAnsi="Arial"/>
                <w:b/>
                <w:bCs/>
                <w:color w:val="FFFFFF"/>
                <w:sz w:val="20"/>
                <w:szCs w:val="20"/>
              </w:rPr>
              <w:t xml:space="preserve">Structure</w:t>
            </w:r>
          </w:p>
        </w:tc>
        <w:tc>
          <w:tcPr>
            <w:tcW w:type="dxa" w:w="3280"/>
            <w:tcBorders>
              <w:top w:val="single" w:color="AABFD8" w:sz="1"/>
              <w:left w:val="single" w:color="AABFD8" w:sz="1"/>
              <w:bottom w:val="single" w:color="AABFD8" w:sz="1"/>
              <w:right w:val="single" w:color="AABFD8" w:sz="1"/>
            </w:tcBorders>
            <w:shd w:fill="2E5D9E" w:val="clear"/>
            <w:tcMar>
              <w:top w:type="dxa" w:w="80"/>
              <w:left w:type="dxa" w:w="100"/>
              <w:bottom w:type="dxa" w:w="80"/>
              <w:right w:type="dxa" w:w="100"/>
            </w:tcMar>
          </w:tcPr>
          <w:p>
            <w:r>
              <w:rPr>
                <w:rFonts w:ascii="Arial" w:cs="Arial" w:eastAsia="Arial" w:hAnsi="Arial"/>
                <w:b/>
                <w:bCs/>
                <w:color w:val="FFFFFF"/>
                <w:sz w:val="20"/>
                <w:szCs w:val="20"/>
              </w:rPr>
              <w:t xml:space="preserve">Advantages</w:t>
            </w:r>
          </w:p>
        </w:tc>
        <w:tc>
          <w:tcPr>
            <w:tcW w:type="dxa" w:w="3280"/>
            <w:tcBorders>
              <w:top w:val="single" w:color="AABFD8" w:sz="1"/>
              <w:left w:val="single" w:color="AABFD8" w:sz="1"/>
              <w:bottom w:val="single" w:color="AABFD8" w:sz="1"/>
              <w:right w:val="single" w:color="AABFD8" w:sz="1"/>
            </w:tcBorders>
            <w:shd w:fill="2E5D9E" w:val="clear"/>
            <w:tcMar>
              <w:top w:type="dxa" w:w="80"/>
              <w:left w:type="dxa" w:w="100"/>
              <w:bottom w:type="dxa" w:w="80"/>
              <w:right w:type="dxa" w:w="100"/>
            </w:tcMar>
          </w:tcPr>
          <w:p>
            <w:r>
              <w:rPr>
                <w:rFonts w:ascii="Arial" w:cs="Arial" w:eastAsia="Arial" w:hAnsi="Arial"/>
                <w:b/>
                <w:bCs/>
                <w:color w:val="FFFFFF"/>
                <w:sz w:val="20"/>
                <w:szCs w:val="20"/>
              </w:rPr>
              <w:t xml:space="preserve">Watch Points</w:t>
            </w:r>
          </w:p>
        </w:tc>
      </w:tr>
      <w:tr>
        <w:tc>
          <w:tcPr>
            <w:tcW w:type="dxa" w:w="28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b/>
                <w:bCs/>
                <w:color w:val="1A1A2E"/>
                <w:sz w:val="20"/>
                <w:szCs w:val="20"/>
              </w:rPr>
              <w:t xml:space="preserve">Personal ownership (Direktbesitz)</w:t>
            </w:r>
          </w:p>
        </w:tc>
        <w:tc>
          <w:tcPr>
            <w:tcW w:type="dxa" w:w="328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AfA offsets personal income; losses horizontally offsettable; step-up on inheritance; Teileinkünfteverfahren available on disposal</w:t>
            </w:r>
          </w:p>
        </w:tc>
        <w:tc>
          <w:tcPr>
            <w:tcW w:type="dxa" w:w="328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Marginal ESt rate up to 45% + SolZ on retained rental income; full personal liability</w:t>
            </w:r>
          </w:p>
        </w:tc>
      </w:tr>
      <w:tr>
        <w:tc>
          <w:tcPr>
            <w:tcW w:type="dxa" w:w="280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b/>
                <w:bCs/>
                <w:color w:val="1A1A2E"/>
                <w:sz w:val="20"/>
                <w:szCs w:val="20"/>
              </w:rPr>
              <w:t xml:space="preserve">GmbH</w:t>
            </w:r>
          </w:p>
        </w:tc>
        <w:tc>
          <w:tcPr>
            <w:tcW w:type="dxa" w:w="328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~30% KSt + GewSt on retained income; liability separation; flexible income distribution timing</w:t>
            </w:r>
          </w:p>
        </w:tc>
        <w:tc>
          <w:tcPr>
            <w:tcW w:type="dxa" w:w="3280"/>
            <w:tcBorders>
              <w:top w:val="single" w:color="AABFD8" w:sz="1"/>
              <w:left w:val="single" w:color="AABFD8" w:sz="1"/>
              <w:bottom w:val="single" w:color="AABFD8" w:sz="1"/>
              <w:right w:val="single" w:color="AABFD8"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AfA losses trapped inside entity; GrESt on share transfers (Share Deal &gt;89.9%); no personal loss offset; Grunderwerbsteuer-reform risk</w:t>
            </w:r>
          </w:p>
        </w:tc>
      </w:tr>
      <w:tr>
        <w:tc>
          <w:tcPr>
            <w:tcW w:type="dxa" w:w="280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b/>
                <w:bCs/>
                <w:color w:val="1A1A2E"/>
                <w:sz w:val="20"/>
                <w:szCs w:val="20"/>
              </w:rPr>
              <w:t xml:space="preserve">GmbH &amp; Co. KG</w:t>
            </w:r>
          </w:p>
        </w:tc>
        <w:tc>
          <w:tcPr>
            <w:tcW w:type="dxa" w:w="328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Transparent taxation (losses flow through to partners); liability protection via GmbH GP; flexible capital structure for multi-investor portfolios</w:t>
            </w:r>
          </w:p>
        </w:tc>
        <w:tc>
          <w:tcPr>
            <w:tcW w:type="dxa" w:w="3280"/>
            <w:tcBorders>
              <w:top w:val="single" w:color="AABFD8" w:sz="1"/>
              <w:left w:val="single" w:color="AABFD8" w:sz="1"/>
              <w:bottom w:val="single" w:color="AABFD8" w:sz="1"/>
              <w:right w:val="single" w:color="AABFD8" w:sz="1"/>
            </w:tcBorders>
            <w:shd w:fill="EEF3FA" w:val="clear"/>
            <w:tcMar>
              <w:top w:type="dxa" w:w="80"/>
              <w:left w:type="dxa" w:w="100"/>
              <w:bottom w:type="dxa" w:w="80"/>
              <w:right w:type="dxa" w:w="100"/>
            </w:tcMar>
          </w:tcPr>
          <w:p>
            <w:r>
              <w:rPr>
                <w:rFonts w:ascii="Arial" w:cs="Arial" w:eastAsia="Arial" w:hAnsi="Arial"/>
                <w:color w:val="333333"/>
                <w:sz w:val="20"/>
                <w:szCs w:val="20"/>
              </w:rPr>
              <w:t xml:space="preserve">Administrative overhead; Gewerbesteuer on rental income if Gewerblichkeit triggered; §15a EStG loss limitation for limited partners</w:t>
            </w:r>
          </w:p>
        </w:tc>
      </w:tr>
    </w:tbl>
    <w:p>
      <w:pPr>
        <w:spacing w:after="180"/>
      </w:pPr>
    </w:p>
    <w:tbl>
      <w:tblPr>
        <w:tblW w:type="dxa" w:w="2800"/>
        <w:tblBorders>
          <w:top w:val="single" w:color="auto" w:sz="4"/>
          <w:left w:val="single" w:color="auto" w:sz="4"/>
          <w:bottom w:val="single" w:color="auto" w:sz="4"/>
          <w:right w:val="single" w:color="auto" w:sz="4"/>
          <w:insideH w:val="single" w:color="auto" w:sz="4"/>
          <w:insideV w:val="single" w:color="auto" w:sz="4"/>
        </w:tblBorders>
      </w:tblPr>
      <w:tblGrid>
        <w:gridCol w:w="2800"/>
      </w:tblGrid>
      <w:tr>
        <w:tc>
          <w:tcPr>
            <w:tcBorders>
              <w:top w:val="none" w:color="FFFFFF" w:sz="0"/>
              <w:left w:val="none" w:color="FFFFFF" w:sz="0"/>
              <w:bottom w:val="none" w:color="FFFFFF" w:sz="0"/>
              <w:right w:val="none" w:color="FFFFFF" w:sz="0"/>
            </w:tcBorders>
            <w:shd w:fill="2E5D9E" w:val="clear"/>
            <w:tcMar>
              <w:top w:type="dxa" w:w="60"/>
              <w:left w:type="dxa" w:w="160"/>
              <w:bottom w:type="dxa" w:w="60"/>
              <w:right w:type="dxa" w:w="160"/>
            </w:tcMar>
          </w:tcPr>
          <w:p>
            <w:pPr>
              <w:jc w:val="center"/>
            </w:pPr>
            <w:r>
              <w:rPr>
                <w:rFonts w:ascii="Arial" w:cs="Arial" w:eastAsia="Arial" w:hAnsi="Arial"/>
                <w:b/>
                <w:bCs/>
                <w:color w:val="FFFFFF"/>
                <w:sz w:val="18"/>
                <w:szCs w:val="18"/>
              </w:rPr>
              <w:t xml:space="preserve">04 · STRATEGIC IMPLICATIONS</w:t>
            </w:r>
          </w:p>
        </w:tc>
      </w:tr>
    </w:tbl>
    <w:p>
      <w:pPr>
        <w:spacing w:after="80"/>
      </w:pPr>
    </w:p>
    <w:p>
      <w:pPr>
        <w:pStyle w:val="Heading1"/>
        <w:pBdr>
          <w:bottom w:val="single" w:color="2E5D9E" w:sz="8" w:space="6"/>
        </w:pBdr>
        <w:spacing w:after="120" w:before="360"/>
      </w:pPr>
      <w:r>
        <w:rPr>
          <w:rFonts w:ascii="Arial" w:cs="Arial" w:eastAsia="Arial" w:hAnsi="Arial"/>
          <w:b/>
          <w:bCs/>
          <w:color w:val="1A1A2E"/>
          <w:sz w:val="36"/>
          <w:szCs w:val="36"/>
        </w:rPr>
        <w:t xml:space="preserve">Strategic Implications for the Self-Managed Portfolio</w:t>
      </w:r>
    </w:p>
    <w:p>
      <w:pPr>
        <w:spacing w:after="120"/>
      </w:pPr>
      <w:r>
        <w:rPr>
          <w:rFonts w:ascii="Arial" w:cs="Arial" w:eastAsia="Arial" w:hAnsi="Arial"/>
          <w:color w:val="333333"/>
          <w:sz w:val="22"/>
          <w:szCs w:val="22"/>
        </w:rPr>
        <w:t xml:space="preserve">The following considerations are specific to investors who directly own, operate, and make structural decisions for their own portfolio — without a fund manager intermediary. Each point is a decision node, not a checklist.</w:t>
      </w:r>
    </w:p>
    <w:p>
      <w:pPr>
        <w:pStyle w:val="Heading2"/>
        <w:spacing w:after="80" w:before="280"/>
      </w:pPr>
      <w:r>
        <w:rPr>
          <w:rFonts w:ascii="Arial" w:cs="Arial" w:eastAsia="Arial" w:hAnsi="Arial"/>
          <w:b/>
          <w:bCs/>
          <w:color w:val="2E5D9E"/>
          <w:sz w:val="28"/>
          <w:szCs w:val="28"/>
        </w:rPr>
        <w:t xml:space="preserve">AfA as a Yield Enhancement Tool, Not Just a Tax Line</w:t>
      </w:r>
    </w:p>
    <w:p>
      <w:pPr>
        <w:spacing w:after="120"/>
      </w:pPr>
      <w:r>
        <w:rPr>
          <w:rFonts w:ascii="Arial" w:cs="Arial" w:eastAsia="Arial" w:hAnsi="Arial"/>
          <w:color w:val="333333"/>
          <w:sz w:val="22"/>
          <w:szCs w:val="22"/>
        </w:rPr>
        <w:t xml:space="preserve">If you hold properties in personal ownership, your effective net yield is not the gross rental yield minus operating costs. It is gross yield minus operating costs minus the marginal-tax-rate impact of taxable income, offset by AfA deductions. A 4.0% gross yield on a Berlin Altbau can deliver 5.2–5.8% after-tax yield at a 42% marginal rate once AfA, interest deductions, and renovation timing are optimised. Model this explicitly for each asset. Do not rely on gross yield as the primary acquisition metric.</w:t>
      </w:r>
    </w:p>
    <w:p>
      <w:pPr>
        <w:pStyle w:val="Heading2"/>
        <w:spacing w:after="80" w:before="280"/>
      </w:pPr>
      <w:r>
        <w:rPr>
          <w:rFonts w:ascii="Arial" w:cs="Arial" w:eastAsia="Arial" w:hAnsi="Arial"/>
          <w:b/>
          <w:bCs/>
          <w:color w:val="2E5D9E"/>
          <w:sz w:val="28"/>
          <w:szCs w:val="28"/>
        </w:rPr>
        <w:t xml:space="preserve">The 10-Year Rule: Exit Planning Starts at Acquisition</w:t>
      </w:r>
    </w:p>
    <w:p>
      <w:pPr>
        <w:spacing w:after="120"/>
      </w:pPr>
      <w:r>
        <w:rPr>
          <w:rFonts w:ascii="Arial" w:cs="Arial" w:eastAsia="Arial" w:hAnsi="Arial"/>
          <w:color w:val="333333"/>
          <w:sz w:val="22"/>
          <w:szCs w:val="22"/>
        </w:rPr>
        <w:t xml:space="preserve">Under § 23 EStG, gains on private real property disposals are tax-free after a 10-year holding period. This creates a binary exit cost structure: disposals before year 10 incur full marginal income tax on the gain (including AfA recapture on the depreciated base); disposals after year 10 are tax-free. Portfolio liquidity planning must account for this cliff. Consider staggering acquisition dates across multi-asset portfolios to avoid simultaneous Spekulationsfrist expiry concentration. For properties held in corporate structures, this 10-year exemption does not apply — corporate disposals are taxed at the entity level regardless of holding period.</w:t>
      </w:r>
    </w:p>
    <w:p>
      <w:pPr>
        <w:pStyle w:val="Heading2"/>
        <w:spacing w:after="80" w:before="280"/>
      </w:pPr>
      <w:r>
        <w:rPr>
          <w:rFonts w:ascii="Arial" w:cs="Arial" w:eastAsia="Arial" w:hAnsi="Arial"/>
          <w:b/>
          <w:bCs/>
          <w:color w:val="2E5D9E"/>
          <w:sz w:val="28"/>
          <w:szCs w:val="28"/>
        </w:rPr>
        <w:t xml:space="preserve">AfA Recapture on Early Disposal</w:t>
      </w:r>
    </w:p>
    <w:p>
      <w:pPr>
        <w:spacing w:after="120"/>
      </w:pPr>
      <w:r>
        <w:rPr>
          <w:rFonts w:ascii="Arial" w:cs="Arial" w:eastAsia="Arial" w:hAnsi="Arial"/>
          <w:color w:val="333333"/>
          <w:sz w:val="22"/>
          <w:szCs w:val="22"/>
        </w:rPr>
        <w:t xml:space="preserve">The AfA claimed over the holding period reduces the tax base (Anschaffungskosten) on disposal. This is not an issue after 10 years in personal ownership — but it is for pre-10-year disposals and all corporate disposals. The recaptured amount is taxed as ordinary income, not as a capital gain. For high-AfA assets (monuments, recent acquisitions with large bases), model the recapture exposure before accepting an offer that triggers an early exit.</w:t>
      </w:r>
    </w:p>
    <w:p>
      <w:pPr>
        <w:pStyle w:val="Heading2"/>
        <w:spacing w:after="80" w:before="280"/>
      </w:pPr>
      <w:r>
        <w:rPr>
          <w:rFonts w:ascii="Arial" w:cs="Arial" w:eastAsia="Arial" w:hAnsi="Arial"/>
          <w:b/>
          <w:bCs/>
          <w:color w:val="2E5D9E"/>
          <w:sz w:val="28"/>
          <w:szCs w:val="28"/>
        </w:rPr>
        <w:t xml:space="preserve">Portfolio-Level Loss Offsetting</w:t>
      </w:r>
    </w:p>
    <w:p>
      <w:pPr>
        <w:spacing w:after="120"/>
      </w:pPr>
      <w:r>
        <w:rPr>
          <w:rFonts w:ascii="Arial" w:cs="Arial" w:eastAsia="Arial" w:hAnsi="Arial"/>
          <w:color w:val="333333"/>
          <w:sz w:val="22"/>
          <w:szCs w:val="22"/>
        </w:rPr>
        <w:t xml:space="preserve">Verluste aus Vermietung und Verpachtung (rental losses) generated by AfA and interest deductions can offset other income categories in the same assessment year — salary, professional income, other positive rental income. This horizontal loss offset is not available within a GmbH structure. If you are in a high-earning phase and hold property personally, engineering a rental loss through leverage and renovation timing is a legitimate income-smoothing mechanism. Coordinate with your Steuerberater on the Verlustfeststellungsbescheid to lock in carried losses in years where offset is not immediately available.</w:t>
      </w:r>
    </w:p>
    <w:p>
      <w:pPr>
        <w:pStyle w:val="Heading2"/>
        <w:spacing w:after="80" w:before="280"/>
      </w:pPr>
      <w:r>
        <w:rPr>
          <w:rFonts w:ascii="Arial" w:cs="Arial" w:eastAsia="Arial" w:hAnsi="Arial"/>
          <w:b/>
          <w:bCs/>
          <w:color w:val="2E5D9E"/>
          <w:sz w:val="28"/>
          <w:szCs w:val="28"/>
        </w:rPr>
        <w:t xml:space="preserve">Investitionsabzugsbetrag (IAB, § 7g EStG): Pre-Investment Deduction</w:t>
      </w:r>
    </w:p>
    <w:p>
      <w:pPr>
        <w:spacing w:after="120"/>
      </w:pPr>
      <w:r>
        <w:rPr>
          <w:rFonts w:ascii="Arial" w:cs="Arial" w:eastAsia="Arial" w:hAnsi="Arial"/>
          <w:color w:val="333333"/>
          <w:sz w:val="22"/>
          <w:szCs w:val="22"/>
        </w:rPr>
        <w:t xml:space="preserve">If you hold properties through a qualifying business structure (gewerbliche Vermietung threshold must not be crossed for residential portfolios), the IAB allows you to deduct up to 50% of planned investment costs in the year before the investment is made — reducing taxable income up to €200,000 per fiscal year. The investment must then occur within 3 years, and the AfA base is reduced by the IAB amount. For portfolios planning capital expenditure cycles, the IAB can be a material pre-financing tool. Confirm with your advisor whether your rental activity qualifies as a business for IAB purposes — this is frequently misapplied.</w:t>
      </w:r>
    </w:p>
    <w:p>
      <w:pPr>
        <w:pStyle w:val="Heading2"/>
        <w:spacing w:after="80" w:before="280"/>
      </w:pPr>
      <w:r>
        <w:rPr>
          <w:rFonts w:ascii="Arial" w:cs="Arial" w:eastAsia="Arial" w:hAnsi="Arial"/>
          <w:b/>
          <w:bCs/>
          <w:color w:val="2E5D9E"/>
          <w:sz w:val="28"/>
          <w:szCs w:val="28"/>
        </w:rPr>
        <w:t xml:space="preserve">Foreign Holding Structures: Substance Requirements</w:t>
      </w:r>
    </w:p>
    <w:p>
      <w:pPr>
        <w:spacing w:after="120"/>
      </w:pPr>
      <w:r>
        <w:rPr>
          <w:rFonts w:ascii="Arial" w:cs="Arial" w:eastAsia="Arial" w:hAnsi="Arial"/>
          <w:color w:val="333333"/>
          <w:sz w:val="22"/>
          <w:szCs w:val="22"/>
        </w:rPr>
        <w:t xml:space="preserve">Interposing a holding entity in Luxembourg, the Netherlands, or another EU jurisdiction to access participation exemptions or favourable DTT rates has become significantly more constrained since the Anti-Tax Avoidance Directive (ATAD) implementation and the German Hinzurechnungsbesteuerung (§§ 7–14 AStG). For the self-managed investor, the practical threshold is: the foreign holding entity must have genuine economic substance — real office, employees, and decision-making authority — to withstand a Finanzverwaltung audit. Letterbox structures are routinely challenged. Unless the portfolio scale justifies the substance investment, domestic structures (GmbH, GmbH &amp; Co. KG) deliver comparable efficiency at lower compliance cost.</w:t>
      </w:r>
    </w:p>
    <w:p>
      <w:pPr>
        <w:pStyle w:val="Heading2"/>
        <w:spacing w:after="80" w:before="280"/>
      </w:pPr>
      <w:r>
        <w:rPr>
          <w:rFonts w:ascii="Arial" w:cs="Arial" w:eastAsia="Arial" w:hAnsi="Arial"/>
          <w:b/>
          <w:bCs/>
          <w:color w:val="2E5D9E"/>
          <w:sz w:val="28"/>
          <w:szCs w:val="28"/>
        </w:rPr>
        <w:t xml:space="preserve">Documentation Protocol</w:t>
      </w:r>
    </w:p>
    <w:p>
      <w:pPr>
        <w:spacing w:after="120"/>
      </w:pPr>
      <w:r>
        <w:rPr>
          <w:rFonts w:ascii="Arial" w:cs="Arial" w:eastAsia="Arial" w:hAnsi="Arial"/>
          <w:color w:val="333333"/>
          <w:sz w:val="22"/>
          <w:szCs w:val="22"/>
        </w:rPr>
        <w:t xml:space="preserve">AfA positions are audited on a multi-year lag. The Finanzamt typically reviews AfA claims 3–5 years post-filing. Maintain the following permanently:</w:t>
      </w:r>
    </w:p>
    <w:p>
      <w:pPr>
        <w:pStyle w:val="ListParagraph"/>
        <w:numPr>
          <w:ilvl w:val="0"/>
          <w:numId w:val="2"/>
        </w:numPr>
        <w:spacing w:after="80"/>
      </w:pPr>
      <w:r>
        <w:rPr>
          <w:rFonts w:ascii="Arial" w:cs="Arial" w:eastAsia="Arial" w:hAnsi="Arial"/>
          <w:color w:val="333333"/>
          <w:sz w:val="22"/>
          <w:szCs w:val="22"/>
        </w:rPr>
        <w:t xml:space="preserve">Original purchase contract with land/building allocation or supporting appraisal</w:t>
      </w:r>
    </w:p>
    <w:p>
      <w:pPr>
        <w:pStyle w:val="ListParagraph"/>
        <w:numPr>
          <w:ilvl w:val="0"/>
          <w:numId w:val="2"/>
        </w:numPr>
        <w:spacing w:after="80"/>
      </w:pPr>
      <w:r>
        <w:rPr>
          <w:rFonts w:ascii="Arial" w:cs="Arial" w:eastAsia="Arial" w:hAnsi="Arial"/>
          <w:color w:val="333333"/>
          <w:sz w:val="22"/>
          <w:szCs w:val="22"/>
        </w:rPr>
        <w:t xml:space="preserve">Grundsteuerbescheid for each property (updates automatically, use for annual AfA verification)</w:t>
      </w:r>
    </w:p>
    <w:p>
      <w:pPr>
        <w:pStyle w:val="ListParagraph"/>
        <w:numPr>
          <w:ilvl w:val="0"/>
          <w:numId w:val="2"/>
        </w:numPr>
        <w:spacing w:after="80"/>
      </w:pPr>
      <w:r>
        <w:rPr>
          <w:rFonts w:ascii="Arial" w:cs="Arial" w:eastAsia="Arial" w:hAnsi="Arial"/>
          <w:color w:val="333333"/>
          <w:sz w:val="22"/>
          <w:szCs w:val="22"/>
        </w:rPr>
        <w:t xml:space="preserve">Detailed project files for every capital improvement: contractor invoices, scope descriptions, completion photos</w:t>
      </w:r>
    </w:p>
    <w:p>
      <w:pPr>
        <w:pStyle w:val="ListParagraph"/>
        <w:numPr>
          <w:ilvl w:val="0"/>
          <w:numId w:val="2"/>
        </w:numPr>
        <w:spacing w:after="80"/>
      </w:pPr>
      <w:r>
        <w:rPr>
          <w:rFonts w:ascii="Arial" w:cs="Arial" w:eastAsia="Arial" w:hAnsi="Arial"/>
          <w:color w:val="333333"/>
          <w:sz w:val="22"/>
          <w:szCs w:val="22"/>
        </w:rPr>
        <w:t xml:space="preserve">Written categorisation decision (Herstellungsaufwand vs. Erhaltungsaufwand) at the time of commissioning works — not retrospectively</w:t>
      </w:r>
    </w:p>
    <w:p>
      <w:pPr>
        <w:pStyle w:val="ListParagraph"/>
        <w:numPr>
          <w:ilvl w:val="0"/>
          <w:numId w:val="2"/>
        </w:numPr>
        <w:spacing w:after="80"/>
      </w:pPr>
      <w:r>
        <w:rPr>
          <w:rFonts w:ascii="Arial" w:cs="Arial" w:eastAsia="Arial" w:hAnsi="Arial"/>
          <w:color w:val="333333"/>
          <w:sz w:val="22"/>
          <w:szCs w:val="22"/>
        </w:rPr>
        <w:t xml:space="preserve">AfA schedule reconciliation against the fixed asset register, updated annually</w:t>
      </w:r>
    </w:p>
    <w:p>
      <w:pPr>
        <w:spacing w:after="200"/>
      </w:pPr>
    </w:p>
    <w:p>
      <w:pPr>
        <w:pBdr>
          <w:top w:val="single" w:color="AABFD8" w:sz="6" w:space="8"/>
        </w:pBdr>
        <w:spacing w:before="200"/>
      </w:pPr>
      <w:r>
        <w:rPr>
          <w:rFonts w:ascii="Arial" w:cs="Arial" w:eastAsia="Arial" w:hAnsi="Arial"/>
          <w:i/>
          <w:iCs/>
          <w:color w:val="888888"/>
          <w:sz w:val="18"/>
          <w:szCs w:val="18"/>
        </w:rPr>
        <w:t xml:space="preserve">This document reflects German tax law as of 2024/2025. It is not a substitute for jurisdiction-specific advice from a licensed Steuerberater and/or Wirtschaftsprüfer. For cross-border investors, coordinate with advisors qualified in both the situs jurisdiction (Germany) and your residence state.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6"/>
      <w:szCs w:val="36"/>
    </w:rPr>
  </w:style>
  <w:style w:type="paragraph" w:styleId="Heading2">
    <w:name w:val="Heading 2"/>
    <w:basedOn w:val="Normal"/>
    <w:next w:val="Normal"/>
    <w:qFormat/>
    <w:pPr>
      <w:spacing w:after="80" w:before="280"/>
      <w:outlineLvl w:val="1"/>
    </w:pPr>
    <w:rPr>
      <w:rFonts w:ascii="Arial" w:cs="Arial" w:eastAsia="Arial" w:hAnsi="Arial"/>
      <w:b/>
      <w:bCs/>
      <w:color w:val="2E5D9E"/>
      <w:sz w:val="28"/>
      <w:szCs w:val="28"/>
    </w:rPr>
  </w:style>
  <w:style w:type="paragraph" w:styleId="Heading3">
    <w:name w:val="Heading 3"/>
    <w:basedOn w:val="Normal"/>
    <w:next w:val="Normal"/>
    <w:qFormat/>
    <w:pPr>
      <w:spacing w:after="60" w:before="200"/>
      <w:outlineLvl w:val="2"/>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2026-03-22T11:41:22.990Z</dcterms:created>
  <dcterms:modified xsi:type="dcterms:W3CDTF">2026-03-22T11:41:22.991Z</dcterms:modified>
</cp:coreProperties>
</file>

<file path=docProps/custom.xml><?xml version="1.0" encoding="utf-8"?>
<Properties xmlns="http://schemas.openxmlformats.org/officeDocument/2006/custom-properties" xmlns:vt="http://schemas.openxmlformats.org/officeDocument/2006/docPropsVTypes"/>
</file>