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440"/>
        <w:jc w:val="center"/>
      </w:pPr>
      <w:r>
        <w:rPr>
          <w:rFonts w:ascii="Arial" w:cs="Arial" w:eastAsia="Arial" w:hAnsi="Arial"/>
          <w:b/>
          <w:bCs/>
          <w:color w:val="1B3A6B"/>
          <w:sz w:val="56"/>
          <w:szCs w:val="56"/>
        </w:rPr>
        <w:t xml:space="preserve">REAL ESTATE CREDIT CHECK</w:t>
      </w:r>
    </w:p>
    <w:p>
      <w:pPr>
        <w:pBdr>
          <w:bottom w:val="single" w:color="2E5FA3" w:sz="12" w:space="4"/>
        </w:pBdr>
        <w:spacing w:after="160" w:before="0"/>
        <w:jc w:val="center"/>
      </w:pPr>
      <w:r>
        <w:rPr>
          <w:rFonts w:ascii="Arial" w:cs="Arial" w:eastAsia="Arial" w:hAnsi="Arial"/>
          <w:i/>
          <w:iCs/>
          <w:color w:val="2E5FA3"/>
          <w:sz w:val="28"/>
          <w:szCs w:val="28"/>
        </w:rPr>
        <w:t xml:space="preserve">Comprehensive Loan Assessment &amp; Regulatory Compliance Framework</w:t>
      </w:r>
    </w:p>
    <w:p>
      <w:pPr>
        <w:spacing w:after="120" w:before="120"/>
      </w:pPr>
      <w:r>
        <w:t xml:space="preserve"/>
      </w:r>
    </w:p>
    <w:p>
      <w:pPr>
        <w:spacing w:after="40" w:before="80"/>
        <w:jc w:val="center"/>
      </w:pPr>
      <w:r>
        <w:rPr>
          <w:rFonts w:ascii="Arial" w:cs="Arial" w:eastAsia="Arial" w:hAnsi="Arial"/>
          <w:b/>
          <w:bCs/>
          <w:color w:val="555555"/>
          <w:sz w:val="24"/>
          <w:szCs w:val="24"/>
        </w:rPr>
        <w:t xml:space="preserve">Jurisdiction: Berlin, Federal Republic of Germany</w:t>
      </w:r>
    </w:p>
    <w:p>
      <w:pPr>
        <w:spacing w:after="40" w:before="40"/>
        <w:jc w:val="center"/>
      </w:pPr>
      <w:r>
        <w:rPr>
          <w:rFonts w:ascii="Arial" w:cs="Arial" w:eastAsia="Arial" w:hAnsi="Arial"/>
          <w:color w:val="777777"/>
          <w:sz w:val="22"/>
          <w:szCs w:val="22"/>
        </w:rPr>
        <w:t xml:space="preserve">Applicable Law: BGB §§ 488–490, 504–505b | KWG | MaRisk | CRR/CRD IV</w:t>
      </w:r>
    </w:p>
    <w:p>
      <w:pPr>
        <w:spacing w:after="40" w:before="40"/>
        <w:jc w:val="center"/>
      </w:pPr>
      <w:r>
        <w:rPr>
          <w:rFonts w:ascii="Arial" w:cs="Arial" w:eastAsia="Arial" w:hAnsi="Arial"/>
          <w:color w:val="777777"/>
          <w:sz w:val="22"/>
          <w:szCs w:val="22"/>
        </w:rPr>
        <w:t xml:space="preserve">Document Date: 3. April 2026</w:t>
      </w:r>
    </w:p>
    <w:p>
      <w:pPr>
        <w:spacing w:after="240" w:before="240"/>
      </w:pPr>
      <w:r>
        <w:t xml:space="preserve"/>
      </w:r>
    </w:p>
    <w:p>
      <w:r>
        <w:br w:type="page"/>
      </w:r>
    </w:p>
    <w:p>
      <w:pPr>
        <w:pStyle w:val="Heading1"/>
        <w:pBdr>
          <w:bottom w:val="single" w:color="2E5FA3" w:sz="8" w:space="4"/>
        </w:pBdr>
        <w:spacing w:after="120" w:before="360"/>
      </w:pPr>
      <w:r>
        <w:rPr>
          <w:rFonts w:ascii="Arial" w:cs="Arial" w:eastAsia="Arial" w:hAnsi="Arial"/>
          <w:b/>
          <w:bCs/>
          <w:color w:val="1B3A6B"/>
          <w:sz w:val="30"/>
          <w:szCs w:val="30"/>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pBdr>
          <w:bottom w:val="single" w:color="2E5FA3" w:sz="8" w:space="4"/>
        </w:pBdr>
        <w:spacing w:after="120" w:before="360"/>
      </w:pPr>
      <w:r>
        <w:rPr>
          <w:rFonts w:ascii="Arial" w:cs="Arial" w:eastAsia="Arial" w:hAnsi="Arial"/>
          <w:b/>
          <w:bCs/>
          <w:color w:val="1B3A6B"/>
          <w:sz w:val="30"/>
          <w:szCs w:val="30"/>
        </w:rPr>
        <w:t xml:space="preserve">1. Overview &amp; Regulatory Framework</w:t>
      </w:r>
    </w:p>
    <w:p>
      <w:pPr>
        <w:spacing w:after="80" w:before="80"/>
        <w:jc w:val="both"/>
      </w:pPr>
      <w:r>
        <w:rPr>
          <w:rFonts w:ascii="Arial" w:cs="Arial" w:eastAsia="Arial" w:hAnsi="Arial"/>
          <w:sz w:val="22"/>
          <w:szCs w:val="22"/>
        </w:rPr>
        <w:t xml:space="preserve">This document constitutes the formal framework for processing real estate credit checks in Berlin, Federal Republic of Germany. It governs the entire lifecycle of a mortgage or real estate loan application, from initial submission through internal credit assessment, risk analysis, collateral valuation, conditional structuring, to the final lending decision and post-disbursement portfolio management.</w:t>
      </w:r>
    </w:p>
    <w:p>
      <w:pPr>
        <w:spacing w:after="60" w:before="60"/>
      </w:pPr>
      <w:r>
        <w:t xml:space="preserve"/>
      </w:r>
    </w:p>
    <w:p>
      <w:pPr>
        <w:spacing w:after="80" w:before="80"/>
        <w:jc w:val="both"/>
      </w:pPr>
      <w:r>
        <w:rPr>
          <w:rFonts w:ascii="Arial" w:cs="Arial" w:eastAsia="Arial" w:hAnsi="Arial"/>
          <w:sz w:val="22"/>
          <w:szCs w:val="22"/>
        </w:rPr>
        <w:t xml:space="preserve">All processes described herein comply with the German Civil Code (Bürgerliches Gesetzbuch, BGB), the German Banking Act (Kreditwesengesetz, KWG), the Minimum Requirements for Risk Management (MaRisk), and the EU Capital Requirements Regulation (CRR) and Directive (CRD IV).</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gridSpan w:val="2"/>
            <w:tcBorders>
              <w:top w:val="single" w:color="2E5FA3" w:sz="1"/>
              <w:left w:val="single" w:color="2E5FA3" w:sz="1"/>
              <w:bottom w:val="single" w:color="2E5FA3" w:sz="1"/>
              <w:right w:val="single" w:color="2E5FA3" w:sz="1"/>
            </w:tcBorders>
            <w:shd w:fill="2E5FA3" w:val="clear"/>
            <w:tcMar>
              <w:top w:type="dxa" w:w="100"/>
              <w:left w:type="dxa" w:w="160"/>
              <w:bottom w:type="dxa" w:w="100"/>
              <w:right w:type="dxa" w:w="160"/>
            </w:tcMar>
          </w:tcPr>
          <w:p>
            <w:r>
              <w:rPr>
                <w:rFonts w:ascii="Arial" w:cs="Arial" w:eastAsia="Arial" w:hAnsi="Arial"/>
                <w:b/>
                <w:bCs/>
                <w:color w:val="FFFFFF"/>
                <w:sz w:val="22"/>
                <w:szCs w:val="22"/>
              </w:rPr>
              <w:t xml:space="preserve">Key Legal Foundations</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 488 BGB</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Loan Contract — defines bilateral obligations: disbursement of funds by lender, repayment of principal plus interest by borrower</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 489 BGB</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Borrower's Ordinary Right of Termination — sets statutory termination rights after 10-year fixed-rate periods</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 490 BGB</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Extraordinary Right of Termination — governs right of termination for cause (e.g., collateral deterioration, default risk)</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 504 BGB</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Overdraft Facilities — rules for running credit facilities and tolerated overdrafts</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 505b BGB</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Creditworthiness Assessment for Real Estate Loans — mandatory underwriting standards for residential mortgage lending</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KWG § 18</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Documentation obligations for loans exceeding €750,000</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MaRisk AT 4.1</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Overall bank risk strategy and organizational requirements</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CRR Art. 125–126</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Risk weights for real estate exposures under standardised approach</w:t>
            </w:r>
          </w:p>
        </w:tc>
      </w:tr>
    </w:tbl>
    <w:p>
      <w:pPr>
        <w:spacing w:after="60" w:before="60"/>
      </w:pPr>
      <w:r>
        <w:t xml:space="preserve"/>
      </w:r>
    </w:p>
    <w:p>
      <w:pPr>
        <w:pStyle w:val="Heading1"/>
        <w:pBdr>
          <w:bottom w:val="single" w:color="2E5FA3" w:sz="8" w:space="4"/>
        </w:pBdr>
        <w:spacing w:after="120" w:before="360"/>
      </w:pPr>
      <w:r>
        <w:rPr>
          <w:rFonts w:ascii="Arial" w:cs="Arial" w:eastAsia="Arial" w:hAnsi="Arial"/>
          <w:b/>
          <w:bCs/>
          <w:color w:val="1B3A6B"/>
          <w:sz w:val="30"/>
          <w:szCs w:val="30"/>
        </w:rPr>
        <w:t xml:space="preserve">2. Loan Application Process</w:t>
      </w:r>
    </w:p>
    <w:p>
      <w:pPr>
        <w:pStyle w:val="Heading2"/>
        <w:spacing w:after="100" w:before="240"/>
      </w:pPr>
      <w:r>
        <w:rPr>
          <w:rFonts w:ascii="Arial" w:cs="Arial" w:eastAsia="Arial" w:hAnsi="Arial"/>
          <w:b/>
          <w:bCs/>
          <w:color w:val="2E5FA3"/>
          <w:sz w:val="26"/>
          <w:szCs w:val="26"/>
        </w:rPr>
        <w:t xml:space="preserve">2.1 Initial Application Intake</w:t>
      </w:r>
    </w:p>
    <w:p>
      <w:pPr>
        <w:spacing w:after="80" w:before="80"/>
        <w:jc w:val="both"/>
      </w:pPr>
      <w:r>
        <w:rPr>
          <w:rFonts w:ascii="Arial" w:cs="Arial" w:eastAsia="Arial" w:hAnsi="Arial"/>
          <w:sz w:val="22"/>
          <w:szCs w:val="22"/>
        </w:rPr>
        <w:t xml:space="preserve">The loan application process commences upon receipt of a formal application from a prospective borrower. In Berlin, all residential real estate loans are subject to mandatory pre-contractual information requirements pursuant to the EU Mortgage Credit Directive (MCD) as transposed into German law.</w:t>
      </w:r>
    </w:p>
    <w:p>
      <w:pPr>
        <w:spacing w:after="60" w:before="60"/>
      </w:pPr>
      <w:r>
        <w:t xml:space="preserve"/>
      </w:r>
    </w:p>
    <w:p>
      <w:pPr>
        <w:spacing w:after="80" w:before="80"/>
        <w:jc w:val="both"/>
      </w:pPr>
      <w:r>
        <w:rPr>
          <w:rFonts w:ascii="Arial" w:cs="Arial" w:eastAsia="Arial" w:hAnsi="Arial"/>
          <w:sz w:val="22"/>
          <w:szCs w:val="22"/>
        </w:rPr>
        <w:t xml:space="preserve">The following documentation must be collected at intake:</w:t>
      </w:r>
    </w:p>
    <w:p>
      <w:pPr>
        <w:pStyle w:val="ListParagraph"/>
        <w:numPr>
          <w:ilvl w:val="0"/>
          <w:numId w:val="2"/>
        </w:numPr>
        <w:spacing w:after="40" w:before="40"/>
      </w:pPr>
      <w:r>
        <w:rPr>
          <w:rFonts w:ascii="Arial" w:cs="Arial" w:eastAsia="Arial" w:hAnsi="Arial"/>
          <w:sz w:val="22"/>
          <w:szCs w:val="22"/>
        </w:rPr>
        <w:t xml:space="preserve">Completed application form with personal identification (Personalausweis or Reisepass)</w:t>
      </w:r>
    </w:p>
    <w:p>
      <w:pPr>
        <w:pStyle w:val="ListParagraph"/>
        <w:numPr>
          <w:ilvl w:val="0"/>
          <w:numId w:val="2"/>
        </w:numPr>
        <w:spacing w:after="40" w:before="40"/>
      </w:pPr>
      <w:r>
        <w:rPr>
          <w:rFonts w:ascii="Arial" w:cs="Arial" w:eastAsia="Arial" w:hAnsi="Arial"/>
          <w:sz w:val="22"/>
          <w:szCs w:val="22"/>
        </w:rPr>
        <w:t xml:space="preserve">Proof of income: last three salary statements, tax assessments (Steuerbescheide), or profit &amp; loss statements for self-employed applicants</w:t>
      </w:r>
    </w:p>
    <w:p>
      <w:pPr>
        <w:pStyle w:val="ListParagraph"/>
        <w:numPr>
          <w:ilvl w:val="0"/>
          <w:numId w:val="2"/>
        </w:numPr>
        <w:spacing w:after="40" w:before="40"/>
      </w:pPr>
      <w:r>
        <w:rPr>
          <w:rFonts w:ascii="Arial" w:cs="Arial" w:eastAsia="Arial" w:hAnsi="Arial"/>
          <w:sz w:val="22"/>
          <w:szCs w:val="22"/>
        </w:rPr>
        <w:t xml:space="preserve">Bank account statements (Kontoauszüge) for the preceding 6 months</w:t>
      </w:r>
    </w:p>
    <w:p>
      <w:pPr>
        <w:pStyle w:val="ListParagraph"/>
        <w:numPr>
          <w:ilvl w:val="0"/>
          <w:numId w:val="2"/>
        </w:numPr>
        <w:spacing w:after="40" w:before="40"/>
      </w:pPr>
      <w:r>
        <w:rPr>
          <w:rFonts w:ascii="Arial" w:cs="Arial" w:eastAsia="Arial" w:hAnsi="Arial"/>
          <w:sz w:val="22"/>
          <w:szCs w:val="22"/>
        </w:rPr>
        <w:t xml:space="preserve">Details of existing liabilities, encumbrances, and ongoing credit commitments</w:t>
      </w:r>
    </w:p>
    <w:p>
      <w:pPr>
        <w:pStyle w:val="ListParagraph"/>
        <w:numPr>
          <w:ilvl w:val="0"/>
          <w:numId w:val="2"/>
        </w:numPr>
        <w:spacing w:after="40" w:before="40"/>
      </w:pPr>
      <w:r>
        <w:rPr>
          <w:rFonts w:ascii="Arial" w:cs="Arial" w:eastAsia="Arial" w:hAnsi="Arial"/>
          <w:sz w:val="22"/>
          <w:szCs w:val="22"/>
        </w:rPr>
        <w:t xml:space="preserve">Property documentation: Grundbuchauszug (land register extract), floor plans, energy performance certificate (Energieausweis), and purchase contract draft</w:t>
      </w:r>
    </w:p>
    <w:p>
      <w:pPr>
        <w:pStyle w:val="ListParagraph"/>
        <w:numPr>
          <w:ilvl w:val="0"/>
          <w:numId w:val="2"/>
        </w:numPr>
        <w:spacing w:after="40" w:before="40"/>
      </w:pPr>
      <w:r>
        <w:rPr>
          <w:rFonts w:ascii="Arial" w:cs="Arial" w:eastAsia="Arial" w:hAnsi="Arial"/>
          <w:sz w:val="22"/>
          <w:szCs w:val="22"/>
        </w:rPr>
        <w:t xml:space="preserve">Evidence of equity capital contribution and source of funds</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2.2 Pre-Screening &amp; Completeness Check</w:t>
      </w:r>
    </w:p>
    <w:p>
      <w:pPr>
        <w:spacing w:after="80" w:before="80"/>
        <w:jc w:val="both"/>
      </w:pPr>
      <w:r>
        <w:rPr>
          <w:rFonts w:ascii="Arial" w:cs="Arial" w:eastAsia="Arial" w:hAnsi="Arial"/>
          <w:sz w:val="22"/>
          <w:szCs w:val="22"/>
        </w:rPr>
        <w:t xml:space="preserve">The credit operations team performs an immediate completeness review. Incomplete applications are returned to the applicant with a formal deficiency notice (Nachforderungsschreiben) within five (5) business days. Applications meeting completeness standards are forwarded to the credit analysis unit for formal processing. The application timestamp initiates all statutory processing deadlines.</w:t>
      </w:r>
    </w:p>
    <w:p>
      <w:pPr>
        <w:spacing w:after="60" w:before="60"/>
      </w:pPr>
      <w:r>
        <w:t xml:space="preserve"/>
      </w:r>
    </w:p>
    <w:p>
      <w:pPr>
        <w:pStyle w:val="Heading1"/>
        <w:pBdr>
          <w:bottom w:val="single" w:color="2E5FA3" w:sz="8" w:space="4"/>
        </w:pBdr>
        <w:spacing w:after="120" w:before="360"/>
      </w:pPr>
      <w:r>
        <w:rPr>
          <w:rFonts w:ascii="Arial" w:cs="Arial" w:eastAsia="Arial" w:hAnsi="Arial"/>
          <w:b/>
          <w:bCs/>
          <w:color w:val="1B3A6B"/>
          <w:sz w:val="30"/>
          <w:szCs w:val="30"/>
        </w:rPr>
        <w:t xml:space="preserve">3. Internal Credit Check System</w:t>
      </w:r>
    </w:p>
    <w:p>
      <w:pPr>
        <w:pStyle w:val="Heading2"/>
        <w:spacing w:after="100" w:before="240"/>
      </w:pPr>
      <w:r>
        <w:rPr>
          <w:rFonts w:ascii="Arial" w:cs="Arial" w:eastAsia="Arial" w:hAnsi="Arial"/>
          <w:b/>
          <w:bCs/>
          <w:color w:val="2E5FA3"/>
          <w:sz w:val="26"/>
          <w:szCs w:val="26"/>
        </w:rPr>
        <w:t xml:space="preserve">3.1 Credit Analysis Unit Process</w:t>
      </w:r>
    </w:p>
    <w:p>
      <w:pPr>
        <w:spacing w:after="80" w:before="80"/>
        <w:jc w:val="both"/>
      </w:pPr>
      <w:r>
        <w:rPr>
          <w:rFonts w:ascii="Arial" w:cs="Arial" w:eastAsia="Arial" w:hAnsi="Arial"/>
          <w:sz w:val="22"/>
          <w:szCs w:val="22"/>
        </w:rPr>
        <w:t xml:space="preserve">The internal credit check is the cornerstone of the underwriting process. The Credit Analysis Unit (Kreditanalyse) conducts a structured, multi-layered assessment of every application in accordance with MaRisk BTO 1.2 and institutional credit policy.</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3.2 SCHUFA &amp; Credit Bureau Inquiry</w:t>
      </w:r>
    </w:p>
    <w:p>
      <w:pPr>
        <w:spacing w:after="80" w:before="80"/>
        <w:jc w:val="both"/>
      </w:pPr>
      <w:r>
        <w:rPr>
          <w:rFonts w:ascii="Arial" w:cs="Arial" w:eastAsia="Arial" w:hAnsi="Arial"/>
          <w:sz w:val="22"/>
          <w:szCs w:val="22"/>
        </w:rPr>
        <w:t xml:space="preserve">All applicants are subject to mandatory SCHUFA (Schutzgemeinschaft für allgemeine Kreditsicherung) inquiry. Additional credit bureau checks may include Creditreform, Bürgel, or Infoscore. The following SCHUFA parameters are evaluated:</w:t>
      </w:r>
    </w:p>
    <w:p>
      <w:pPr>
        <w:pStyle w:val="ListParagraph"/>
        <w:numPr>
          <w:ilvl w:val="0"/>
          <w:numId w:val="2"/>
        </w:numPr>
        <w:spacing w:after="40" w:before="40"/>
      </w:pPr>
      <w:r>
        <w:rPr>
          <w:rFonts w:ascii="Arial" w:cs="Arial" w:eastAsia="Arial" w:hAnsi="Arial"/>
          <w:sz w:val="22"/>
          <w:szCs w:val="22"/>
        </w:rPr>
        <w:t xml:space="preserve">SCHUFA score (Basisscore) — threshold typically set at minimum 90 points for standard product eligibility</w:t>
      </w:r>
    </w:p>
    <w:p>
      <w:pPr>
        <w:pStyle w:val="ListParagraph"/>
        <w:numPr>
          <w:ilvl w:val="0"/>
          <w:numId w:val="2"/>
        </w:numPr>
        <w:spacing w:after="40" w:before="40"/>
      </w:pPr>
      <w:r>
        <w:rPr>
          <w:rFonts w:ascii="Arial" w:cs="Arial" w:eastAsia="Arial" w:hAnsi="Arial"/>
          <w:sz w:val="22"/>
          <w:szCs w:val="22"/>
        </w:rPr>
        <w:t xml:space="preserve">Number and nature of existing credit facilities</w:t>
      </w:r>
    </w:p>
    <w:p>
      <w:pPr>
        <w:pStyle w:val="ListParagraph"/>
        <w:numPr>
          <w:ilvl w:val="0"/>
          <w:numId w:val="2"/>
        </w:numPr>
        <w:spacing w:after="40" w:before="40"/>
      </w:pPr>
      <w:r>
        <w:rPr>
          <w:rFonts w:ascii="Arial" w:cs="Arial" w:eastAsia="Arial" w:hAnsi="Arial"/>
          <w:sz w:val="22"/>
          <w:szCs w:val="22"/>
        </w:rPr>
        <w:t xml:space="preserve">Negative entries: payment defaults, collection proceedings, insolvency events, enforcement measures</w:t>
      </w:r>
    </w:p>
    <w:p>
      <w:pPr>
        <w:pStyle w:val="ListParagraph"/>
        <w:numPr>
          <w:ilvl w:val="0"/>
          <w:numId w:val="2"/>
        </w:numPr>
        <w:spacing w:after="40" w:before="40"/>
      </w:pPr>
      <w:r>
        <w:rPr>
          <w:rFonts w:ascii="Arial" w:cs="Arial" w:eastAsia="Arial" w:hAnsi="Arial"/>
          <w:sz w:val="22"/>
          <w:szCs w:val="22"/>
        </w:rPr>
        <w:t xml:space="preserve">Number of recent credit inquiries (Konditionsanfragen vs. Kreditanfragen)</w:t>
      </w:r>
    </w:p>
    <w:p>
      <w:pPr>
        <w:spacing w:after="60" w:before="60"/>
      </w:pPr>
      <w:r>
        <w:t xml:space="preserve"/>
      </w:r>
    </w:p>
    <w:p>
      <w:pPr>
        <w:spacing w:after="80" w:before="80"/>
        <w:jc w:val="both"/>
      </w:pPr>
      <w:r>
        <w:rPr>
          <w:rFonts w:ascii="Arial" w:cs="Arial" w:eastAsia="Arial" w:hAnsi="Arial"/>
          <w:sz w:val="22"/>
          <w:szCs w:val="22"/>
        </w:rPr>
        <w:t xml:space="preserve">A negative SCHUFA score or entries indicating previous insolvency, enforcement proceedings, or habitual default constitute grounds for immediate decline unless mitigating circumstances and compensatory collateral can be demonstrated to the satisfaction of the senior credit committee.</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3.3 Income Verification &amp; Sustainability Analysis</w:t>
      </w:r>
    </w:p>
    <w:p>
      <w:pPr>
        <w:spacing w:after="80" w:before="80"/>
        <w:jc w:val="both"/>
      </w:pPr>
      <w:r>
        <w:rPr>
          <w:rFonts w:ascii="Arial" w:cs="Arial" w:eastAsia="Arial" w:hAnsi="Arial"/>
          <w:sz w:val="22"/>
          <w:szCs w:val="22"/>
        </w:rPr>
        <w:t xml:space="preserve">Income is validated against source documents and cross-referenced with declared figures. For employed applicants, sustainable net income (nachhaltiges Nettoeinkommen) is calculated after deduction of:</w:t>
      </w:r>
    </w:p>
    <w:p>
      <w:pPr>
        <w:pStyle w:val="ListParagraph"/>
        <w:numPr>
          <w:ilvl w:val="0"/>
          <w:numId w:val="2"/>
        </w:numPr>
        <w:spacing w:after="40" w:before="40"/>
      </w:pPr>
      <w:r>
        <w:rPr>
          <w:rFonts w:ascii="Arial" w:cs="Arial" w:eastAsia="Arial" w:hAnsi="Arial"/>
          <w:sz w:val="22"/>
          <w:szCs w:val="22"/>
        </w:rPr>
        <w:t xml:space="preserve">Income tax and mandatory social security contributions</w:t>
      </w:r>
    </w:p>
    <w:p>
      <w:pPr>
        <w:pStyle w:val="ListParagraph"/>
        <w:numPr>
          <w:ilvl w:val="0"/>
          <w:numId w:val="2"/>
        </w:numPr>
        <w:spacing w:after="40" w:before="40"/>
      </w:pPr>
      <w:r>
        <w:rPr>
          <w:rFonts w:ascii="Arial" w:cs="Arial" w:eastAsia="Arial" w:hAnsi="Arial"/>
          <w:sz w:val="22"/>
          <w:szCs w:val="22"/>
        </w:rPr>
        <w:t xml:space="preserve">Ongoing maintenance obligations (Unterhaltsverpflichtungen)</w:t>
      </w:r>
    </w:p>
    <w:p>
      <w:pPr>
        <w:pStyle w:val="ListParagraph"/>
        <w:numPr>
          <w:ilvl w:val="0"/>
          <w:numId w:val="2"/>
        </w:numPr>
        <w:spacing w:after="40" w:before="40"/>
      </w:pPr>
      <w:r>
        <w:rPr>
          <w:rFonts w:ascii="Arial" w:cs="Arial" w:eastAsia="Arial" w:hAnsi="Arial"/>
          <w:sz w:val="22"/>
          <w:szCs w:val="22"/>
        </w:rPr>
        <w:t xml:space="preserve">Existing debt service (principal + interest on all outstanding facilities)</w:t>
      </w:r>
    </w:p>
    <w:p>
      <w:pPr>
        <w:pStyle w:val="ListParagraph"/>
        <w:numPr>
          <w:ilvl w:val="0"/>
          <w:numId w:val="2"/>
        </w:numPr>
        <w:spacing w:after="40" w:before="40"/>
      </w:pPr>
      <w:r>
        <w:rPr>
          <w:rFonts w:ascii="Arial" w:cs="Arial" w:eastAsia="Arial" w:hAnsi="Arial"/>
          <w:sz w:val="22"/>
          <w:szCs w:val="22"/>
        </w:rPr>
        <w:t xml:space="preserve">Cost-of-living allowances per institutional guidelines (Berlin: minimum €850/month per adult, €350/month per dependent child as of reference year)</w:t>
      </w:r>
    </w:p>
    <w:p>
      <w:pPr>
        <w:spacing w:after="60" w:before="60"/>
      </w:pPr>
      <w:r>
        <w:t xml:space="preserve"/>
      </w:r>
    </w:p>
    <w:p>
      <w:pPr>
        <w:pStyle w:val="Heading1"/>
        <w:pBdr>
          <w:bottom w:val="single" w:color="2E5FA3" w:sz="8" w:space="4"/>
        </w:pBdr>
        <w:spacing w:after="120" w:before="360"/>
      </w:pPr>
      <w:r>
        <w:rPr>
          <w:rFonts w:ascii="Arial" w:cs="Arial" w:eastAsia="Arial" w:hAnsi="Arial"/>
          <w:b/>
          <w:bCs/>
          <w:color w:val="1B3A6B"/>
          <w:sz w:val="30"/>
          <w:szCs w:val="30"/>
        </w:rPr>
        <w:t xml:space="preserve">4. Debt Service Capacity Assessment (Kapitaldienstfähigkeit)</w:t>
      </w:r>
    </w:p>
    <w:p>
      <w:pPr>
        <w:pStyle w:val="Heading2"/>
        <w:spacing w:after="100" w:before="240"/>
      </w:pPr>
      <w:r>
        <w:rPr>
          <w:rFonts w:ascii="Arial" w:cs="Arial" w:eastAsia="Arial" w:hAnsi="Arial"/>
          <w:b/>
          <w:bCs/>
          <w:color w:val="2E5FA3"/>
          <w:sz w:val="26"/>
          <w:szCs w:val="26"/>
        </w:rPr>
        <w:t xml:space="preserve">4.1 Methodology</w:t>
      </w:r>
    </w:p>
    <w:p>
      <w:pPr>
        <w:spacing w:after="80" w:before="80"/>
        <w:jc w:val="both"/>
      </w:pPr>
      <w:r>
        <w:rPr>
          <w:rFonts w:ascii="Arial" w:cs="Arial" w:eastAsia="Arial" w:hAnsi="Arial"/>
          <w:sz w:val="22"/>
          <w:szCs w:val="22"/>
        </w:rPr>
        <w:t xml:space="preserve">Debt service capacity (DSC) analysis determines whether a borrower can sustainably service the proposed loan obligations over the full loan term. This assessment is mandatory under § 505b BGB and MaRisk BTO 1.2.1 for all residential real estate credits.</w:t>
      </w:r>
    </w:p>
    <w:p>
      <w:pPr>
        <w:spacing w:after="60" w:before="60"/>
      </w:pPr>
      <w:r>
        <w:t xml:space="preserve"/>
      </w:r>
    </w:p>
    <w:p>
      <w:pPr>
        <w:spacing w:after="60" w:before="60"/>
      </w:pPr>
      <w:r>
        <w:rPr>
          <w:rFonts w:ascii="Arial" w:cs="Arial" w:eastAsia="Arial" w:hAnsi="Arial"/>
          <w:color w:val="2E5FA3"/>
          <w:sz w:val="22"/>
          <w:szCs w:val="22"/>
        </w:rPr>
        <w:t xml:space="preserve">⚖ </w:t>
      </w:r>
      <w:r>
        <w:rPr>
          <w:rFonts w:ascii="Arial" w:cs="Arial" w:eastAsia="Arial" w:hAnsi="Arial"/>
          <w:i/>
          <w:iCs/>
          <w:color w:val="3A3A3A"/>
          <w:sz w:val="22"/>
          <w:szCs w:val="22"/>
        </w:rPr>
        <w:t xml:space="preserve">§ 505b BGB requires lenders to conduct a creditworthiness assessment based on sufficient information, including information from the borrower where appropriate, and, where necessary, consulting relevant databases. Assessment must be forward-looking and not primarily based on property value.</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4.2 DSC Calculation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gridSpan w:val="2"/>
            <w:tcBorders>
              <w:top w:val="single" w:color="2E5FA3" w:sz="1"/>
              <w:left w:val="single" w:color="2E5FA3" w:sz="1"/>
              <w:bottom w:val="single" w:color="2E5FA3" w:sz="1"/>
              <w:right w:val="single" w:color="2E5FA3" w:sz="1"/>
            </w:tcBorders>
            <w:shd w:fill="2E5FA3" w:val="clear"/>
            <w:tcMar>
              <w:top w:type="dxa" w:w="100"/>
              <w:left w:type="dxa" w:w="160"/>
              <w:bottom w:type="dxa" w:w="100"/>
              <w:right w:type="dxa" w:w="160"/>
            </w:tcMar>
          </w:tcPr>
          <w:p>
            <w:r>
              <w:rPr>
                <w:rFonts w:ascii="Arial" w:cs="Arial" w:eastAsia="Arial" w:hAnsi="Arial"/>
                <w:b/>
                <w:bCs/>
                <w:color w:val="FFFFFF"/>
                <w:sz w:val="22"/>
                <w:szCs w:val="22"/>
              </w:rPr>
              <w:t xml:space="preserve">Debt Service Capacity Formula</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Gross Monthly Income</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Sum of all verifiable recurring income sources (net of tax &amp; social contributions)</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Less: Living Expenses</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Berlin standard: €850 per adult + €350 per child (minimum thresholds)</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Less: Existing Debt Service</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Monthly obligations on all existing credit facilities</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Less: Other Fixed Costs</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Insurance premiums, maintenance obligations, other documented regular outflows</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 Free Disposable Income (FDI)</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Must be ≥ proposed monthly instalment + 20% stress buffer</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Loan-to-Income Ratio (LTI)</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Recommended maximum 4.5x gross annual income (Berlin market standard)</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Debt Service Coverage Ratio (DSCR)</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For investment properties: net rental income ÷ annual debt service ≥ 1.25x</w:t>
            </w:r>
          </w:p>
        </w:tc>
      </w:tr>
    </w:tbl>
    <w:p>
      <w:pPr>
        <w:spacing w:after="60" w:before="60"/>
      </w:pPr>
      <w:r>
        <w:t xml:space="preserve"/>
      </w:r>
    </w:p>
    <w:p>
      <w:pPr>
        <w:pStyle w:val="Heading2"/>
        <w:spacing w:after="100" w:before="240"/>
      </w:pPr>
      <w:r>
        <w:rPr>
          <w:rFonts w:ascii="Arial" w:cs="Arial" w:eastAsia="Arial" w:hAnsi="Arial"/>
          <w:b/>
          <w:bCs/>
          <w:color w:val="2E5FA3"/>
          <w:sz w:val="26"/>
          <w:szCs w:val="26"/>
        </w:rPr>
        <w:t xml:space="preserve">4.3 Interest Rate Stress Test</w:t>
      </w:r>
    </w:p>
    <w:p>
      <w:pPr>
        <w:spacing w:after="80" w:before="80"/>
        <w:jc w:val="both"/>
      </w:pPr>
      <w:r>
        <w:rPr>
          <w:rFonts w:ascii="Arial" w:cs="Arial" w:eastAsia="Arial" w:hAnsi="Arial"/>
          <w:sz w:val="22"/>
          <w:szCs w:val="22"/>
        </w:rPr>
        <w:t xml:space="preserve">In accordance with EBA guidelines and BaFin expectations, all DSC calculations are conducted under stressed interest rate scenarios. The proposed loan rate is increased by a minimum of 200 basis points (2.00%) above the current contractual rate for the stress test. If DSC is insufficient under the stressed scenario, the loan amount must be adjusted, additional collateral secured, or the application declined.</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4.4 Retirement &amp; Long-Term Sustainability</w:t>
      </w:r>
    </w:p>
    <w:p>
      <w:pPr>
        <w:spacing w:after="80" w:before="80"/>
        <w:jc w:val="both"/>
      </w:pPr>
      <w:r>
        <w:rPr>
          <w:rFonts w:ascii="Arial" w:cs="Arial" w:eastAsia="Arial" w:hAnsi="Arial"/>
          <w:sz w:val="22"/>
          <w:szCs w:val="22"/>
        </w:rPr>
        <w:t xml:space="preserve">Where loan maturity extends beyond the projected retirement date of the primary applicant, a separate income scenario using projected pension income (Rentenauskunft from Deutsche Rentenversicherung) must be prepared. DSC must be demonstrated as sustainable throughout the full loan term, including post-retirement periods.</w:t>
      </w:r>
    </w:p>
    <w:p>
      <w:pPr>
        <w:spacing w:after="60" w:before="60"/>
      </w:pPr>
      <w:r>
        <w:t xml:space="preserve"/>
      </w:r>
    </w:p>
    <w:p>
      <w:pPr>
        <w:pStyle w:val="Heading1"/>
        <w:pBdr>
          <w:bottom w:val="single" w:color="2E5FA3" w:sz="8" w:space="4"/>
        </w:pBdr>
        <w:spacing w:after="120" w:before="360"/>
      </w:pPr>
      <w:r>
        <w:rPr>
          <w:rFonts w:ascii="Arial" w:cs="Arial" w:eastAsia="Arial" w:hAnsi="Arial"/>
          <w:b/>
          <w:bCs/>
          <w:color w:val="1B3A6B"/>
          <w:sz w:val="30"/>
          <w:szCs w:val="30"/>
        </w:rPr>
        <w:t xml:space="preserve">5. Portfolio Management</w:t>
      </w:r>
    </w:p>
    <w:p>
      <w:pPr>
        <w:pStyle w:val="Heading2"/>
        <w:spacing w:after="100" w:before="240"/>
      </w:pPr>
      <w:r>
        <w:rPr>
          <w:rFonts w:ascii="Arial" w:cs="Arial" w:eastAsia="Arial" w:hAnsi="Arial"/>
          <w:b/>
          <w:bCs/>
          <w:color w:val="2E5FA3"/>
          <w:sz w:val="26"/>
          <w:szCs w:val="26"/>
        </w:rPr>
        <w:t xml:space="preserve">5.1 Portfolio Monitoring Framework</w:t>
      </w:r>
    </w:p>
    <w:p>
      <w:pPr>
        <w:spacing w:after="80" w:before="80"/>
        <w:jc w:val="both"/>
      </w:pPr>
      <w:r>
        <w:rPr>
          <w:rFonts w:ascii="Arial" w:cs="Arial" w:eastAsia="Arial" w:hAnsi="Arial"/>
          <w:sz w:val="22"/>
          <w:szCs w:val="22"/>
        </w:rPr>
        <w:t xml:space="preserve">Active portfolio management is mandated under MaRisk BTO 1.3 and encompasses continuous monitoring of credit quality, concentration risk, and market value of collateral across the institution's entire real estate lending book. The Berlin real estate market is subject to specific regulatory attention given its dynamic price development and concentration of residential exposures.</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5.2 Concentration Risk &amp; Limits</w:t>
      </w:r>
    </w:p>
    <w:p>
      <w:pPr>
        <w:pStyle w:val="ListParagraph"/>
        <w:numPr>
          <w:ilvl w:val="0"/>
          <w:numId w:val="2"/>
        </w:numPr>
        <w:spacing w:after="40" w:before="40"/>
      </w:pPr>
      <w:r>
        <w:rPr>
          <w:rFonts w:ascii="Arial" w:cs="Arial" w:eastAsia="Arial" w:hAnsi="Arial"/>
          <w:sz w:val="22"/>
          <w:szCs w:val="22"/>
        </w:rPr>
        <w:t xml:space="preserve">Single borrower / borrower group exposure limits per CRR Art. 395 (25% of eligible capital)</w:t>
      </w:r>
    </w:p>
    <w:p>
      <w:pPr>
        <w:pStyle w:val="ListParagraph"/>
        <w:numPr>
          <w:ilvl w:val="0"/>
          <w:numId w:val="2"/>
        </w:numPr>
        <w:spacing w:after="40" w:before="40"/>
      </w:pPr>
      <w:r>
        <w:rPr>
          <w:rFonts w:ascii="Arial" w:cs="Arial" w:eastAsia="Arial" w:hAnsi="Arial"/>
          <w:sz w:val="22"/>
          <w:szCs w:val="22"/>
        </w:rPr>
        <w:t xml:space="preserve">Geographic concentration: Berlin regional sub-market limits reviewed quarterly</w:t>
      </w:r>
    </w:p>
    <w:p>
      <w:pPr>
        <w:pStyle w:val="ListParagraph"/>
        <w:numPr>
          <w:ilvl w:val="0"/>
          <w:numId w:val="2"/>
        </w:numPr>
        <w:spacing w:after="40" w:before="40"/>
      </w:pPr>
      <w:r>
        <w:rPr>
          <w:rFonts w:ascii="Arial" w:cs="Arial" w:eastAsia="Arial" w:hAnsi="Arial"/>
          <w:sz w:val="22"/>
          <w:szCs w:val="22"/>
        </w:rPr>
        <w:t xml:space="preserve">Segment limits: residential vs. commercial vs. land — maintained within Board-approved risk appetite</w:t>
      </w:r>
    </w:p>
    <w:p>
      <w:pPr>
        <w:pStyle w:val="ListParagraph"/>
        <w:numPr>
          <w:ilvl w:val="0"/>
          <w:numId w:val="2"/>
        </w:numPr>
        <w:spacing w:after="40" w:before="40"/>
      </w:pPr>
      <w:r>
        <w:rPr>
          <w:rFonts w:ascii="Arial" w:cs="Arial" w:eastAsia="Arial" w:hAnsi="Arial"/>
          <w:sz w:val="22"/>
          <w:szCs w:val="22"/>
        </w:rPr>
        <w:t xml:space="preserve">Loan-to-Value (LTV) bucket distribution: minimum 40% of portfolio must be below 60% LTV</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5.3 Early Warning System (Frühwarnsystem)</w:t>
      </w:r>
    </w:p>
    <w:p>
      <w:pPr>
        <w:spacing w:after="80" w:before="80"/>
        <w:jc w:val="both"/>
      </w:pPr>
      <w:r>
        <w:rPr>
          <w:rFonts w:ascii="Arial" w:cs="Arial" w:eastAsia="Arial" w:hAnsi="Arial"/>
          <w:sz w:val="22"/>
          <w:szCs w:val="22"/>
        </w:rPr>
        <w:t xml:space="preserve">The institution operates a quantitative early warning system that flags exposures for enhanced monitoring based on:</w:t>
      </w:r>
    </w:p>
    <w:p>
      <w:pPr>
        <w:pStyle w:val="ListParagraph"/>
        <w:numPr>
          <w:ilvl w:val="0"/>
          <w:numId w:val="2"/>
        </w:numPr>
        <w:spacing w:after="40" w:before="40"/>
      </w:pPr>
      <w:r>
        <w:rPr>
          <w:rFonts w:ascii="Arial" w:cs="Arial" w:eastAsia="Arial" w:hAnsi="Arial"/>
          <w:sz w:val="22"/>
          <w:szCs w:val="22"/>
        </w:rPr>
        <w:t xml:space="preserve">Borrower-level triggers: payment delays of 15+ days, significant income deterioration, new adverse SCHUFA events</w:t>
      </w:r>
    </w:p>
    <w:p>
      <w:pPr>
        <w:pStyle w:val="ListParagraph"/>
        <w:numPr>
          <w:ilvl w:val="0"/>
          <w:numId w:val="2"/>
        </w:numPr>
        <w:spacing w:after="40" w:before="40"/>
      </w:pPr>
      <w:r>
        <w:rPr>
          <w:rFonts w:ascii="Arial" w:cs="Arial" w:eastAsia="Arial" w:hAnsi="Arial"/>
          <w:sz w:val="22"/>
          <w:szCs w:val="22"/>
        </w:rPr>
        <w:t xml:space="preserve">Collateral triggers: property value decline of 10%+ since origination, maintenance deficiencies identified in periodic revaluation</w:t>
      </w:r>
    </w:p>
    <w:p>
      <w:pPr>
        <w:pStyle w:val="ListParagraph"/>
        <w:numPr>
          <w:ilvl w:val="0"/>
          <w:numId w:val="2"/>
        </w:numPr>
        <w:spacing w:after="40" w:before="40"/>
      </w:pPr>
      <w:r>
        <w:rPr>
          <w:rFonts w:ascii="Arial" w:cs="Arial" w:eastAsia="Arial" w:hAnsi="Arial"/>
          <w:sz w:val="22"/>
          <w:szCs w:val="22"/>
        </w:rPr>
        <w:t xml:space="preserve">Market triggers: Berlin district-level price index decline of 5%+ over two consecutive quarters</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5.4 Watch List &amp; Restructuring</w:t>
      </w:r>
    </w:p>
    <w:p>
      <w:pPr>
        <w:spacing w:after="80" w:before="80"/>
        <w:jc w:val="both"/>
      </w:pPr>
      <w:r>
        <w:rPr>
          <w:rFonts w:ascii="Arial" w:cs="Arial" w:eastAsia="Arial" w:hAnsi="Arial"/>
          <w:sz w:val="22"/>
          <w:szCs w:val="22"/>
        </w:rPr>
        <w:t xml:space="preserve">Exposures on the early warning watch list are transferred to special credit management (Intensivbetreuung) and subject to:</w:t>
      </w:r>
    </w:p>
    <w:p>
      <w:pPr>
        <w:pStyle w:val="ListParagraph"/>
        <w:numPr>
          <w:ilvl w:val="0"/>
          <w:numId w:val="2"/>
        </w:numPr>
        <w:spacing w:after="40" w:before="40"/>
      </w:pPr>
      <w:r>
        <w:rPr>
          <w:rFonts w:ascii="Arial" w:cs="Arial" w:eastAsia="Arial" w:hAnsi="Arial"/>
          <w:sz w:val="22"/>
          <w:szCs w:val="22"/>
        </w:rPr>
        <w:t xml:space="preserve">Quarterly credit file review and updated financial analysis</w:t>
      </w:r>
    </w:p>
    <w:p>
      <w:pPr>
        <w:pStyle w:val="ListParagraph"/>
        <w:numPr>
          <w:ilvl w:val="0"/>
          <w:numId w:val="2"/>
        </w:numPr>
        <w:spacing w:after="40" w:before="40"/>
      </w:pPr>
      <w:r>
        <w:rPr>
          <w:rFonts w:ascii="Arial" w:cs="Arial" w:eastAsia="Arial" w:hAnsi="Arial"/>
          <w:sz w:val="22"/>
          <w:szCs w:val="22"/>
        </w:rPr>
        <w:t xml:space="preserve">Formal borrower meeting at least annually</w:t>
      </w:r>
    </w:p>
    <w:p>
      <w:pPr>
        <w:pStyle w:val="ListParagraph"/>
        <w:numPr>
          <w:ilvl w:val="0"/>
          <w:numId w:val="2"/>
        </w:numPr>
        <w:spacing w:after="40" w:before="40"/>
      </w:pPr>
      <w:r>
        <w:rPr>
          <w:rFonts w:ascii="Arial" w:cs="Arial" w:eastAsia="Arial" w:hAnsi="Arial"/>
          <w:sz w:val="22"/>
          <w:szCs w:val="22"/>
        </w:rPr>
        <w:t xml:space="preserve">Collateral revaluation within 6 months of watch list transfer</w:t>
      </w:r>
    </w:p>
    <w:p>
      <w:pPr>
        <w:pStyle w:val="ListParagraph"/>
        <w:numPr>
          <w:ilvl w:val="0"/>
          <w:numId w:val="2"/>
        </w:numPr>
        <w:spacing w:after="40" w:before="40"/>
      </w:pPr>
      <w:r>
        <w:rPr>
          <w:rFonts w:ascii="Arial" w:cs="Arial" w:eastAsia="Arial" w:hAnsi="Arial"/>
          <w:sz w:val="22"/>
          <w:szCs w:val="22"/>
        </w:rPr>
        <w:t xml:space="preserve">Restructuring options evaluation: payment holidays, term extensions, partial prepayments, covenant waivers</w:t>
      </w:r>
    </w:p>
    <w:p>
      <w:pPr>
        <w:spacing w:after="60" w:before="60"/>
      </w:pPr>
      <w:r>
        <w:t xml:space="preserve"/>
      </w:r>
    </w:p>
    <w:p>
      <w:pPr>
        <w:pStyle w:val="Heading1"/>
        <w:pBdr>
          <w:bottom w:val="single" w:color="2E5FA3" w:sz="8" w:space="4"/>
        </w:pBdr>
        <w:spacing w:after="120" w:before="360"/>
      </w:pPr>
      <w:r>
        <w:rPr>
          <w:rFonts w:ascii="Arial" w:cs="Arial" w:eastAsia="Arial" w:hAnsi="Arial"/>
          <w:b/>
          <w:bCs/>
          <w:color w:val="1B3A6B"/>
          <w:sz w:val="30"/>
          <w:szCs w:val="30"/>
        </w:rPr>
        <w:t xml:space="preserve">6. Conditional Loan Structuring</w:t>
      </w:r>
    </w:p>
    <w:p>
      <w:pPr>
        <w:pStyle w:val="Heading2"/>
        <w:spacing w:after="100" w:before="240"/>
      </w:pPr>
      <w:r>
        <w:rPr>
          <w:rFonts w:ascii="Arial" w:cs="Arial" w:eastAsia="Arial" w:hAnsi="Arial"/>
          <w:b/>
          <w:bCs/>
          <w:color w:val="2E5FA3"/>
          <w:sz w:val="26"/>
          <w:szCs w:val="26"/>
        </w:rPr>
        <w:t xml:space="preserve">6.1 Conditions Precedent (Auszahlungsvoraussetzungen)</w:t>
      </w:r>
    </w:p>
    <w:p>
      <w:pPr>
        <w:spacing w:after="80" w:before="80"/>
        <w:jc w:val="both"/>
      </w:pPr>
      <w:r>
        <w:rPr>
          <w:rFonts w:ascii="Arial" w:cs="Arial" w:eastAsia="Arial" w:hAnsi="Arial"/>
          <w:sz w:val="22"/>
          <w:szCs w:val="22"/>
        </w:rPr>
        <w:t xml:space="preserve">All real estate loans are structured with mandatory conditions precedent that must be satisfied prior to initial disbursement. Standard conditions precedent in Berlin real estate lending include:</w:t>
      </w:r>
    </w:p>
    <w:p>
      <w:pPr>
        <w:pStyle w:val="ListParagraph"/>
        <w:numPr>
          <w:ilvl w:val="0"/>
          <w:numId w:val="2"/>
        </w:numPr>
        <w:spacing w:after="40" w:before="40"/>
      </w:pPr>
      <w:r>
        <w:rPr>
          <w:rFonts w:ascii="Arial" w:cs="Arial" w:eastAsia="Arial" w:hAnsi="Arial"/>
          <w:sz w:val="22"/>
          <w:szCs w:val="22"/>
        </w:rPr>
        <w:t xml:space="preserve">Registration of a first-ranking (or agreed-ranking) land charge (Grundschuld) in the Grundbuch in favour of the lending institution</w:t>
      </w:r>
    </w:p>
    <w:p>
      <w:pPr>
        <w:pStyle w:val="ListParagraph"/>
        <w:numPr>
          <w:ilvl w:val="0"/>
          <w:numId w:val="2"/>
        </w:numPr>
        <w:spacing w:after="40" w:before="40"/>
      </w:pPr>
      <w:r>
        <w:rPr>
          <w:rFonts w:ascii="Arial" w:cs="Arial" w:eastAsia="Arial" w:hAnsi="Arial"/>
          <w:sz w:val="22"/>
          <w:szCs w:val="22"/>
        </w:rPr>
        <w:t xml:space="preserve">Building insurance (Gebäudeversicherung) covering at minimum fire, storm, flood and other perils, with the bank named as additional insured</w:t>
      </w:r>
    </w:p>
    <w:p>
      <w:pPr>
        <w:pStyle w:val="ListParagraph"/>
        <w:numPr>
          <w:ilvl w:val="0"/>
          <w:numId w:val="2"/>
        </w:numPr>
        <w:spacing w:after="40" w:before="40"/>
      </w:pPr>
      <w:r>
        <w:rPr>
          <w:rFonts w:ascii="Arial" w:cs="Arial" w:eastAsia="Arial" w:hAnsi="Arial"/>
          <w:sz w:val="22"/>
          <w:szCs w:val="22"/>
        </w:rPr>
        <w:t xml:space="preserve">For construction/conversion loans: submission of valid building permit (Baugenehmigung) issued by relevant Berlin district authority (Bezirksamt)</w:t>
      </w:r>
    </w:p>
    <w:p>
      <w:pPr>
        <w:pStyle w:val="ListParagraph"/>
        <w:numPr>
          <w:ilvl w:val="0"/>
          <w:numId w:val="2"/>
        </w:numPr>
        <w:spacing w:after="40" w:before="40"/>
      </w:pPr>
      <w:r>
        <w:rPr>
          <w:rFonts w:ascii="Arial" w:cs="Arial" w:eastAsia="Arial" w:hAnsi="Arial"/>
          <w:sz w:val="22"/>
          <w:szCs w:val="22"/>
        </w:rPr>
        <w:t xml:space="preserve">For purchase transactions: submission of notarized purchase contract (beurkundeter Kaufvertrag) with evidence of notary escrow (Notaranderkonto) arrangement</w:t>
      </w:r>
    </w:p>
    <w:p>
      <w:pPr>
        <w:pStyle w:val="ListParagraph"/>
        <w:numPr>
          <w:ilvl w:val="0"/>
          <w:numId w:val="2"/>
        </w:numPr>
        <w:spacing w:after="40" w:before="40"/>
      </w:pPr>
      <w:r>
        <w:rPr>
          <w:rFonts w:ascii="Arial" w:cs="Arial" w:eastAsia="Arial" w:hAnsi="Arial"/>
          <w:sz w:val="22"/>
          <w:szCs w:val="22"/>
        </w:rPr>
        <w:t xml:space="preserve">Evidence of equity capital already deployed or contractually committed</w:t>
      </w:r>
    </w:p>
    <w:p>
      <w:pPr>
        <w:pStyle w:val="ListParagraph"/>
        <w:numPr>
          <w:ilvl w:val="0"/>
          <w:numId w:val="2"/>
        </w:numPr>
        <w:spacing w:after="40" w:before="40"/>
      </w:pPr>
      <w:r>
        <w:rPr>
          <w:rFonts w:ascii="Arial" w:cs="Arial" w:eastAsia="Arial" w:hAnsi="Arial"/>
          <w:sz w:val="22"/>
          <w:szCs w:val="22"/>
        </w:rPr>
        <w:t xml:space="preserve">Completion of all regulatory due diligence including anti-money laundering (GwG) verification</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6.2 Ongoing Covenants</w:t>
      </w:r>
    </w:p>
    <w:p>
      <w:pPr>
        <w:spacing w:after="80" w:before="80"/>
        <w:jc w:val="both"/>
      </w:pPr>
      <w:r>
        <w:rPr>
          <w:rFonts w:ascii="Arial" w:cs="Arial" w:eastAsia="Arial" w:hAnsi="Arial"/>
          <w:sz w:val="22"/>
          <w:szCs w:val="22"/>
        </w:rPr>
        <w:t xml:space="preserve">The loan agreement specifies maintenance covenants effective throughout the loan term:</w:t>
      </w:r>
    </w:p>
    <w:p>
      <w:pPr>
        <w:pStyle w:val="ListParagraph"/>
        <w:numPr>
          <w:ilvl w:val="0"/>
          <w:numId w:val="2"/>
        </w:numPr>
        <w:spacing w:after="40" w:before="40"/>
      </w:pPr>
      <w:r>
        <w:rPr>
          <w:rFonts w:ascii="Arial" w:cs="Arial" w:eastAsia="Arial" w:hAnsi="Arial"/>
          <w:sz w:val="22"/>
          <w:szCs w:val="22"/>
        </w:rPr>
        <w:t xml:space="preserve">Annual submission of updated income documentation upon request</w:t>
      </w:r>
    </w:p>
    <w:p>
      <w:pPr>
        <w:pStyle w:val="ListParagraph"/>
        <w:numPr>
          <w:ilvl w:val="0"/>
          <w:numId w:val="2"/>
        </w:numPr>
        <w:spacing w:after="40" w:before="40"/>
      </w:pPr>
      <w:r>
        <w:rPr>
          <w:rFonts w:ascii="Arial" w:cs="Arial" w:eastAsia="Arial" w:hAnsi="Arial"/>
          <w:sz w:val="22"/>
          <w:szCs w:val="22"/>
        </w:rPr>
        <w:t xml:space="preserve">Prompt notification of material adverse changes in financial position</w:t>
      </w:r>
    </w:p>
    <w:p>
      <w:pPr>
        <w:pStyle w:val="ListParagraph"/>
        <w:numPr>
          <w:ilvl w:val="0"/>
          <w:numId w:val="2"/>
        </w:numPr>
        <w:spacing w:after="40" w:before="40"/>
      </w:pPr>
      <w:r>
        <w:rPr>
          <w:rFonts w:ascii="Arial" w:cs="Arial" w:eastAsia="Arial" w:hAnsi="Arial"/>
          <w:sz w:val="22"/>
          <w:szCs w:val="22"/>
        </w:rPr>
        <w:t xml:space="preserve">Maintenance of property in good repair and compliance with applicable building codes (Bauordnung Berlin)</w:t>
      </w:r>
    </w:p>
    <w:p>
      <w:pPr>
        <w:pStyle w:val="ListParagraph"/>
        <w:numPr>
          <w:ilvl w:val="0"/>
          <w:numId w:val="2"/>
        </w:numPr>
        <w:spacing w:after="40" w:before="40"/>
      </w:pPr>
      <w:r>
        <w:rPr>
          <w:rFonts w:ascii="Arial" w:cs="Arial" w:eastAsia="Arial" w:hAnsi="Arial"/>
          <w:sz w:val="22"/>
          <w:szCs w:val="22"/>
        </w:rPr>
        <w:t xml:space="preserve">No creation of additional encumbrances on the property without prior written consent</w:t>
      </w:r>
    </w:p>
    <w:p>
      <w:pPr>
        <w:pStyle w:val="ListParagraph"/>
        <w:numPr>
          <w:ilvl w:val="0"/>
          <w:numId w:val="2"/>
        </w:numPr>
        <w:spacing w:after="40" w:before="40"/>
      </w:pPr>
      <w:r>
        <w:rPr>
          <w:rFonts w:ascii="Arial" w:cs="Arial" w:eastAsia="Arial" w:hAnsi="Arial"/>
          <w:sz w:val="22"/>
          <w:szCs w:val="22"/>
        </w:rPr>
        <w:t xml:space="preserve">Compliance with rental income reporting obligations (for investment properties)</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6.3 Drawdown Structure for Construction Finance</w:t>
      </w:r>
    </w:p>
    <w:p>
      <w:pPr>
        <w:spacing w:after="80" w:before="80"/>
        <w:jc w:val="both"/>
      </w:pPr>
      <w:r>
        <w:rPr>
          <w:rFonts w:ascii="Arial" w:cs="Arial" w:eastAsia="Arial" w:hAnsi="Arial"/>
          <w:sz w:val="22"/>
          <w:szCs w:val="22"/>
        </w:rPr>
        <w:t xml:space="preserve">For construction and development projects in Berlin, loan disbursement follows a tranche-based schedule tied to completion milestones (Baufortschrittsrate), as verified by the bank's appointed surveyor (Bausachverständiger):</w:t>
      </w:r>
    </w:p>
    <w:p>
      <w:pPr>
        <w:pStyle w:val="ListParagraph"/>
        <w:numPr>
          <w:ilvl w:val="0"/>
          <w:numId w:val="2"/>
        </w:numPr>
        <w:spacing w:after="40" w:before="40"/>
      </w:pPr>
      <w:r>
        <w:rPr>
          <w:rFonts w:ascii="Arial" w:cs="Arial" w:eastAsia="Arial" w:hAnsi="Arial"/>
          <w:sz w:val="22"/>
          <w:szCs w:val="22"/>
        </w:rPr>
        <w:t xml:space="preserve">Tranche 1 (up to 15%): upon shell completion (Rohbau)</w:t>
      </w:r>
    </w:p>
    <w:p>
      <w:pPr>
        <w:pStyle w:val="ListParagraph"/>
        <w:numPr>
          <w:ilvl w:val="0"/>
          <w:numId w:val="2"/>
        </w:numPr>
        <w:spacing w:after="40" w:before="40"/>
      </w:pPr>
      <w:r>
        <w:rPr>
          <w:rFonts w:ascii="Arial" w:cs="Arial" w:eastAsia="Arial" w:hAnsi="Arial"/>
          <w:sz w:val="22"/>
          <w:szCs w:val="22"/>
        </w:rPr>
        <w:t xml:space="preserve">Tranche 2 (up to 30%): upon completion of roof structure (Dachstuhl)</w:t>
      </w:r>
    </w:p>
    <w:p>
      <w:pPr>
        <w:pStyle w:val="ListParagraph"/>
        <w:numPr>
          <w:ilvl w:val="0"/>
          <w:numId w:val="2"/>
        </w:numPr>
        <w:spacing w:after="40" w:before="40"/>
      </w:pPr>
      <w:r>
        <w:rPr>
          <w:rFonts w:ascii="Arial" w:cs="Arial" w:eastAsia="Arial" w:hAnsi="Arial"/>
          <w:sz w:val="22"/>
          <w:szCs w:val="22"/>
        </w:rPr>
        <w:t xml:space="preserve">Tranche 3 (up to 25%): upon window installation and weathertight status</w:t>
      </w:r>
    </w:p>
    <w:p>
      <w:pPr>
        <w:pStyle w:val="ListParagraph"/>
        <w:numPr>
          <w:ilvl w:val="0"/>
          <w:numId w:val="2"/>
        </w:numPr>
        <w:spacing w:after="40" w:before="40"/>
      </w:pPr>
      <w:r>
        <w:rPr>
          <w:rFonts w:ascii="Arial" w:cs="Arial" w:eastAsia="Arial" w:hAnsi="Arial"/>
          <w:sz w:val="22"/>
          <w:szCs w:val="22"/>
        </w:rPr>
        <w:t xml:space="preserve">Tranche 4 (up to 20%): upon completion of interior fit-out</w:t>
      </w:r>
    </w:p>
    <w:p>
      <w:pPr>
        <w:pStyle w:val="ListParagraph"/>
        <w:numPr>
          <w:ilvl w:val="0"/>
          <w:numId w:val="2"/>
        </w:numPr>
        <w:spacing w:after="40" w:before="40"/>
      </w:pPr>
      <w:r>
        <w:rPr>
          <w:rFonts w:ascii="Arial" w:cs="Arial" w:eastAsia="Arial" w:hAnsi="Arial"/>
          <w:sz w:val="22"/>
          <w:szCs w:val="22"/>
        </w:rPr>
        <w:t xml:space="preserve">Final Tranche (10%): upon issuance of occupancy permit (Abnahme/Fertigstellungsbescheinigung)</w:t>
      </w:r>
    </w:p>
    <w:p>
      <w:pPr>
        <w:spacing w:after="60" w:before="60"/>
      </w:pPr>
      <w:r>
        <w:t xml:space="preserve"/>
      </w:r>
    </w:p>
    <w:p>
      <w:pPr>
        <w:pStyle w:val="Heading1"/>
        <w:pBdr>
          <w:bottom w:val="single" w:color="2E5FA3" w:sz="8" w:space="4"/>
        </w:pBdr>
        <w:spacing w:after="120" w:before="360"/>
      </w:pPr>
      <w:r>
        <w:rPr>
          <w:rFonts w:ascii="Arial" w:cs="Arial" w:eastAsia="Arial" w:hAnsi="Arial"/>
          <w:b/>
          <w:bCs/>
          <w:color w:val="1B3A6B"/>
          <w:sz w:val="30"/>
          <w:szCs w:val="30"/>
        </w:rPr>
        <w:t xml:space="preserve">7. Collateral Assessment &amp; Management</w:t>
      </w:r>
    </w:p>
    <w:p>
      <w:pPr>
        <w:pStyle w:val="Heading2"/>
        <w:spacing w:after="100" w:before="240"/>
      </w:pPr>
      <w:r>
        <w:rPr>
          <w:rFonts w:ascii="Arial" w:cs="Arial" w:eastAsia="Arial" w:hAnsi="Arial"/>
          <w:b/>
          <w:bCs/>
          <w:color w:val="2E5FA3"/>
          <w:sz w:val="26"/>
          <w:szCs w:val="26"/>
        </w:rPr>
        <w:t xml:space="preserve">7.1 Collateral Types Accepted</w:t>
      </w:r>
    </w:p>
    <w:p>
      <w:pPr>
        <w:spacing w:after="80" w:before="80"/>
        <w:jc w:val="both"/>
      </w:pPr>
      <w:r>
        <w:rPr>
          <w:rFonts w:ascii="Arial" w:cs="Arial" w:eastAsia="Arial" w:hAnsi="Arial"/>
          <w:sz w:val="22"/>
          <w:szCs w:val="22"/>
        </w:rPr>
        <w:t xml:space="preserve">In accordance with CRR Art. 125–126 and institutional policy, the following collateral types are accepted for real estate lending in Berlin:</w:t>
      </w:r>
    </w:p>
    <w:p>
      <w:pPr>
        <w:pStyle w:val="ListParagraph"/>
        <w:numPr>
          <w:ilvl w:val="0"/>
          <w:numId w:val="2"/>
        </w:numPr>
        <w:spacing w:after="40" w:before="40"/>
      </w:pPr>
      <w:r>
        <w:rPr>
          <w:rFonts w:ascii="Arial" w:cs="Arial" w:eastAsia="Arial" w:hAnsi="Arial"/>
          <w:sz w:val="22"/>
          <w:szCs w:val="22"/>
        </w:rPr>
        <w:t xml:space="preserve">First-ranking Grundschuld (land charge) on freehold (Eigentum) property — preferred collateral type</w:t>
      </w:r>
    </w:p>
    <w:p>
      <w:pPr>
        <w:pStyle w:val="ListParagraph"/>
        <w:numPr>
          <w:ilvl w:val="0"/>
          <w:numId w:val="2"/>
        </w:numPr>
        <w:spacing w:after="40" w:before="40"/>
      </w:pPr>
      <w:r>
        <w:rPr>
          <w:rFonts w:ascii="Arial" w:cs="Arial" w:eastAsia="Arial" w:hAnsi="Arial"/>
          <w:sz w:val="22"/>
          <w:szCs w:val="22"/>
        </w:rPr>
        <w:t xml:space="preserve">First-ranking Grundschuld on heritable building rights (Erbbaurecht) — subject to minimum remaining lease term of loan maturity + 20 years</w:t>
      </w:r>
    </w:p>
    <w:p>
      <w:pPr>
        <w:pStyle w:val="ListParagraph"/>
        <w:numPr>
          <w:ilvl w:val="0"/>
          <w:numId w:val="2"/>
        </w:numPr>
        <w:spacing w:after="40" w:before="40"/>
      </w:pPr>
      <w:r>
        <w:rPr>
          <w:rFonts w:ascii="Arial" w:cs="Arial" w:eastAsia="Arial" w:hAnsi="Arial"/>
          <w:sz w:val="22"/>
          <w:szCs w:val="22"/>
        </w:rPr>
        <w:t xml:space="preserve">Assignment of rental income (Mietabtretung) as additional collateral for investment properties</w:t>
      </w:r>
    </w:p>
    <w:p>
      <w:pPr>
        <w:pStyle w:val="ListParagraph"/>
        <w:numPr>
          <w:ilvl w:val="0"/>
          <w:numId w:val="2"/>
        </w:numPr>
        <w:spacing w:after="40" w:before="40"/>
      </w:pPr>
      <w:r>
        <w:rPr>
          <w:rFonts w:ascii="Arial" w:cs="Arial" w:eastAsia="Arial" w:hAnsi="Arial"/>
          <w:sz w:val="22"/>
          <w:szCs w:val="22"/>
        </w:rPr>
        <w:t xml:space="preserve">Guarantee (Bürgschaft) or personal liability undertaking from creditworthy third party</w:t>
      </w:r>
    </w:p>
    <w:p>
      <w:pPr>
        <w:pStyle w:val="ListParagraph"/>
        <w:numPr>
          <w:ilvl w:val="0"/>
          <w:numId w:val="2"/>
        </w:numPr>
        <w:spacing w:after="40" w:before="40"/>
      </w:pPr>
      <w:r>
        <w:rPr>
          <w:rFonts w:ascii="Arial" w:cs="Arial" w:eastAsia="Arial" w:hAnsi="Arial"/>
          <w:sz w:val="22"/>
          <w:szCs w:val="22"/>
        </w:rPr>
        <w:t xml:space="preserve">Life insurance assignments (Lebensversicherungsabtretung) as supplementary coverage</w:t>
      </w:r>
    </w:p>
    <w:p>
      <w:pPr>
        <w:pStyle w:val="ListParagraph"/>
        <w:numPr>
          <w:ilvl w:val="0"/>
          <w:numId w:val="2"/>
        </w:numPr>
        <w:spacing w:after="40" w:before="40"/>
      </w:pPr>
      <w:r>
        <w:rPr>
          <w:rFonts w:ascii="Arial" w:cs="Arial" w:eastAsia="Arial" w:hAnsi="Arial"/>
          <w:sz w:val="22"/>
          <w:szCs w:val="22"/>
        </w:rPr>
        <w:t xml:space="preserve">Savings and investment account pledges (Kontoverpfändung) as additional security</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7.2 Property Valuation Standards</w:t>
      </w:r>
    </w:p>
    <w:p>
      <w:pPr>
        <w:spacing w:after="80" w:before="80"/>
        <w:jc w:val="both"/>
      </w:pPr>
      <w:r>
        <w:rPr>
          <w:rFonts w:ascii="Arial" w:cs="Arial" w:eastAsia="Arial" w:hAnsi="Arial"/>
          <w:sz w:val="22"/>
          <w:szCs w:val="22"/>
        </w:rPr>
        <w:t xml:space="preserve">All real estate collateral must be independently valued by a qualified appraiser (Gutachter) certified under DIN ISO 17024 or equivalent. Valuations must conform to:</w:t>
      </w:r>
    </w:p>
    <w:p>
      <w:pPr>
        <w:pStyle w:val="ListParagraph"/>
        <w:numPr>
          <w:ilvl w:val="0"/>
          <w:numId w:val="2"/>
        </w:numPr>
        <w:spacing w:after="40" w:before="40"/>
      </w:pPr>
      <w:r>
        <w:rPr>
          <w:rFonts w:ascii="Arial" w:cs="Arial" w:eastAsia="Arial" w:hAnsi="Arial"/>
          <w:sz w:val="22"/>
          <w:szCs w:val="22"/>
        </w:rPr>
        <w:t xml:space="preserve">ImmoWertV 2021 (Immobilienwertermittlungsverordnung) — statutory valuation regulation</w:t>
      </w:r>
    </w:p>
    <w:p>
      <w:pPr>
        <w:pStyle w:val="ListParagraph"/>
        <w:numPr>
          <w:ilvl w:val="0"/>
          <w:numId w:val="2"/>
        </w:numPr>
        <w:spacing w:after="40" w:before="40"/>
      </w:pPr>
      <w:r>
        <w:rPr>
          <w:rFonts w:ascii="Arial" w:cs="Arial" w:eastAsia="Arial" w:hAnsi="Arial"/>
          <w:sz w:val="22"/>
          <w:szCs w:val="22"/>
        </w:rPr>
        <w:t xml:space="preserve">RICS Red Book Global Standards — for institutional and commercial properties</w:t>
      </w:r>
    </w:p>
    <w:p>
      <w:pPr>
        <w:pStyle w:val="ListParagraph"/>
        <w:numPr>
          <w:ilvl w:val="0"/>
          <w:numId w:val="2"/>
        </w:numPr>
        <w:spacing w:after="40" w:before="40"/>
      </w:pPr>
      <w:r>
        <w:rPr>
          <w:rFonts w:ascii="Arial" w:cs="Arial" w:eastAsia="Arial" w:hAnsi="Arial"/>
          <w:sz w:val="22"/>
          <w:szCs w:val="22"/>
        </w:rPr>
        <w:t xml:space="preserve">Internal Valuation Guidelines per MaRisk BTO 1.2.1 Tz. 5</w:t>
      </w:r>
    </w:p>
    <w:p>
      <w:pPr>
        <w:spacing w:after="60" w:before="60"/>
      </w:pPr>
      <w:r>
        <w:t xml:space="preserve"/>
      </w:r>
    </w:p>
    <w:p>
      <w:pPr>
        <w:spacing w:after="80" w:before="80"/>
        <w:jc w:val="both"/>
      </w:pPr>
      <w:r>
        <w:rPr>
          <w:rFonts w:ascii="Arial" w:cs="Arial" w:eastAsia="Arial" w:hAnsi="Arial"/>
          <w:sz w:val="22"/>
          <w:szCs w:val="22"/>
        </w:rPr>
        <w:t xml:space="preserve">The lending value (Beleihungswert) is determined pursuant to § 16 PfandBG, applying a conservative sustainable market value approach with specific deductions for market volatility and liquidity discounts. For Berlin residential property, typical lending value haircuts are 10–25% below current market value.</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7.3 Loan-to-Value (Beleihungsauslauf) Guidelines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gridSpan w:val="2"/>
            <w:tcBorders>
              <w:top w:val="single" w:color="2E5FA3" w:sz="1"/>
              <w:left w:val="single" w:color="2E5FA3" w:sz="1"/>
              <w:bottom w:val="single" w:color="2E5FA3" w:sz="1"/>
              <w:right w:val="single" w:color="2E5FA3" w:sz="1"/>
            </w:tcBorders>
            <w:shd w:fill="2E5FA3" w:val="clear"/>
            <w:tcMar>
              <w:top w:type="dxa" w:w="100"/>
              <w:left w:type="dxa" w:w="160"/>
              <w:bottom w:type="dxa" w:w="100"/>
              <w:right w:type="dxa" w:w="160"/>
            </w:tcMar>
          </w:tcPr>
          <w:p>
            <w:r>
              <w:rPr>
                <w:rFonts w:ascii="Arial" w:cs="Arial" w:eastAsia="Arial" w:hAnsi="Arial"/>
                <w:b/>
                <w:bCs/>
                <w:color w:val="FFFFFF"/>
                <w:sz w:val="22"/>
                <w:szCs w:val="22"/>
              </w:rPr>
              <w:t xml:space="preserve">LTV Limits by Property Category (Berlin)</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Owner-Occupied Residential (Eigenheim)</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Up to 80% of Beleihungswert (standard), up to 100% with additional collateral</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Buy-to-Let Residential Investment</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Up to 70% of Beleihungswert</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Mixed-Use Properties (Gemischt genutzt)</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Up to 65% of Beleihungswert, commercial element max. 40%</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Commercial Real Estate (CRE)</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Up to 60% of Beleihungswert; higher LTV requires Credit Committee approval</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Land / Development Plots</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Up to 50% of Beleihungswert; full Board credit committee approval required</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Listed / Heritage Buildings (Denkmalschutz)</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Individual assessment; maximum 60%, extended due diligence required</w:t>
            </w:r>
          </w:p>
        </w:tc>
      </w:tr>
    </w:tbl>
    <w:p>
      <w:pPr>
        <w:spacing w:after="60" w:before="60"/>
      </w:pPr>
      <w:r>
        <w:t xml:space="preserve"/>
      </w:r>
    </w:p>
    <w:p>
      <w:pPr>
        <w:pStyle w:val="Heading2"/>
        <w:spacing w:after="100" w:before="240"/>
      </w:pPr>
      <w:r>
        <w:rPr>
          <w:rFonts w:ascii="Arial" w:cs="Arial" w:eastAsia="Arial" w:hAnsi="Arial"/>
          <w:b/>
          <w:bCs/>
          <w:color w:val="2E5FA3"/>
          <w:sz w:val="26"/>
          <w:szCs w:val="26"/>
        </w:rPr>
        <w:t xml:space="preserve">7.4 Grundbuch Procedures (Land Register)</w:t>
      </w:r>
    </w:p>
    <w:p>
      <w:pPr>
        <w:spacing w:after="80" w:before="80"/>
        <w:jc w:val="both"/>
      </w:pPr>
      <w:r>
        <w:rPr>
          <w:rFonts w:ascii="Arial" w:cs="Arial" w:eastAsia="Arial" w:hAnsi="Arial"/>
          <w:sz w:val="22"/>
          <w:szCs w:val="22"/>
        </w:rPr>
        <w:t xml:space="preserve">All Grundschuld registrations in Berlin are processed through the Grundbuchamt at the competent Amtsgericht. The bank must be registered as creditor of a notarially certified Grundschuld (Bankgrundschuld) before disbursement. Key Grundbuch considerations:</w:t>
      </w:r>
    </w:p>
    <w:p>
      <w:pPr>
        <w:pStyle w:val="ListParagraph"/>
        <w:numPr>
          <w:ilvl w:val="0"/>
          <w:numId w:val="2"/>
        </w:numPr>
        <w:spacing w:after="40" w:before="40"/>
      </w:pPr>
      <w:r>
        <w:rPr>
          <w:rFonts w:ascii="Arial" w:cs="Arial" w:eastAsia="Arial" w:hAnsi="Arial"/>
          <w:sz w:val="22"/>
          <w:szCs w:val="22"/>
        </w:rPr>
        <w:t xml:space="preserve">Abteilung III (Section III): must reflect bank's Grundschuld with correct rank priority</w:t>
      </w:r>
    </w:p>
    <w:p>
      <w:pPr>
        <w:pStyle w:val="ListParagraph"/>
        <w:numPr>
          <w:ilvl w:val="0"/>
          <w:numId w:val="2"/>
        </w:numPr>
        <w:spacing w:after="40" w:before="40"/>
      </w:pPr>
      <w:r>
        <w:rPr>
          <w:rFonts w:ascii="Arial" w:cs="Arial" w:eastAsia="Arial" w:hAnsi="Arial"/>
          <w:sz w:val="22"/>
          <w:szCs w:val="22"/>
        </w:rPr>
        <w:t xml:space="preserve">Abteilung II (Section II): any existing encumbrances, easements, or pre-emptive rights (Vorkaufsrechte) must be reviewed and addressed</w:t>
      </w:r>
    </w:p>
    <w:p>
      <w:pPr>
        <w:pStyle w:val="ListParagraph"/>
        <w:numPr>
          <w:ilvl w:val="0"/>
          <w:numId w:val="2"/>
        </w:numPr>
        <w:spacing w:after="40" w:before="40"/>
      </w:pPr>
      <w:r>
        <w:rPr>
          <w:rFonts w:ascii="Arial" w:cs="Arial" w:eastAsia="Arial" w:hAnsi="Arial"/>
          <w:sz w:val="22"/>
          <w:szCs w:val="22"/>
        </w:rPr>
        <w:t xml:space="preserve">Erbbaurecht: the Erbbaugrundbuch (heritable building right register) must confirm unencumbered rights for the required period</w:t>
      </w:r>
    </w:p>
    <w:p>
      <w:pPr>
        <w:spacing w:after="60" w:before="60"/>
      </w:pPr>
      <w:r>
        <w:t xml:space="preserve"/>
      </w:r>
    </w:p>
    <w:p>
      <w:pPr>
        <w:pStyle w:val="Heading1"/>
        <w:pBdr>
          <w:bottom w:val="single" w:color="2E5FA3" w:sz="8" w:space="4"/>
        </w:pBdr>
        <w:spacing w:after="120" w:before="360"/>
      </w:pPr>
      <w:r>
        <w:rPr>
          <w:rFonts w:ascii="Arial" w:cs="Arial" w:eastAsia="Arial" w:hAnsi="Arial"/>
          <w:b/>
          <w:bCs/>
          <w:color w:val="1B3A6B"/>
          <w:sz w:val="30"/>
          <w:szCs w:val="30"/>
        </w:rPr>
        <w:t xml:space="preserve">8. Loan Decision Process</w:t>
      </w:r>
    </w:p>
    <w:p>
      <w:pPr>
        <w:pStyle w:val="Heading2"/>
        <w:spacing w:after="100" w:before="240"/>
      </w:pPr>
      <w:r>
        <w:rPr>
          <w:rFonts w:ascii="Arial" w:cs="Arial" w:eastAsia="Arial" w:hAnsi="Arial"/>
          <w:b/>
          <w:bCs/>
          <w:color w:val="2E5FA3"/>
          <w:sz w:val="26"/>
          <w:szCs w:val="26"/>
        </w:rPr>
        <w:t xml:space="preserve">8.1 Decision Authority Matrix</w:t>
      </w:r>
    </w:p>
    <w:p>
      <w:pPr>
        <w:spacing w:after="80" w:before="80"/>
        <w:jc w:val="both"/>
      </w:pPr>
      <w:r>
        <w:rPr>
          <w:rFonts w:ascii="Arial" w:cs="Arial" w:eastAsia="Arial" w:hAnsi="Arial"/>
          <w:sz w:val="22"/>
          <w:szCs w:val="22"/>
        </w:rPr>
        <w:t xml:space="preserve">The loan decision authority is structured in accordance with MaRisk BTO 1.1 and the institution's organizational guidelines (Organisationsrichtlinien). The four-eyes principle (Vier-Augen-Prinzip) is strictly observed at all decision levels.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gridSpan w:val="2"/>
            <w:tcBorders>
              <w:top w:val="single" w:color="2E5FA3" w:sz="1"/>
              <w:left w:val="single" w:color="2E5FA3" w:sz="1"/>
              <w:bottom w:val="single" w:color="2E5FA3" w:sz="1"/>
              <w:right w:val="single" w:color="2E5FA3" w:sz="1"/>
            </w:tcBorders>
            <w:shd w:fill="2E5FA3" w:val="clear"/>
            <w:tcMar>
              <w:top w:type="dxa" w:w="100"/>
              <w:left w:type="dxa" w:w="160"/>
              <w:bottom w:type="dxa" w:w="100"/>
              <w:right w:type="dxa" w:w="160"/>
            </w:tcMar>
          </w:tcPr>
          <w:p>
            <w:r>
              <w:rPr>
                <w:rFonts w:ascii="Arial" w:cs="Arial" w:eastAsia="Arial" w:hAnsi="Arial"/>
                <w:b/>
                <w:bCs/>
                <w:color w:val="FFFFFF"/>
                <w:sz w:val="22"/>
                <w:szCs w:val="22"/>
              </w:rPr>
              <w:t xml:space="preserve">Approval Authority Matrix</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Level 1: Credit Officer</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Loans up to €250,000 LTV ≤60%; standard product; positive DSC</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Level 2: Senior Credit Manager</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Loans €250,001–€750,000; LTV ≤70%; standard risk profile</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Level 3: Credit Committee (Kreditausschuss)</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Loans €750,001–€5,000,000; elevated risk features; investment properties</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Level 4: Board Credit Committee</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Loans &gt; €5,000,000; development finance; commercial exposures; policy exceptions</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Level 5: Supervisory Board</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Large exposures per KWG §13 (&gt; 10% eligible capital); strategic exceptions</w:t>
            </w:r>
          </w:p>
        </w:tc>
      </w:tr>
    </w:tbl>
    <w:p>
      <w:pPr>
        <w:spacing w:after="60" w:before="60"/>
      </w:pPr>
      <w:r>
        <w:t xml:space="preserve"/>
      </w:r>
    </w:p>
    <w:p>
      <w:pPr>
        <w:pStyle w:val="Heading2"/>
        <w:spacing w:after="100" w:before="240"/>
      </w:pPr>
      <w:r>
        <w:rPr>
          <w:rFonts w:ascii="Arial" w:cs="Arial" w:eastAsia="Arial" w:hAnsi="Arial"/>
          <w:b/>
          <w:bCs/>
          <w:color w:val="2E5FA3"/>
          <w:sz w:val="26"/>
          <w:szCs w:val="26"/>
        </w:rPr>
        <w:t xml:space="preserve">8.2 Decision Outcomes</w:t>
      </w:r>
    </w:p>
    <w:p>
      <w:pPr>
        <w:pStyle w:val="Heading3"/>
        <w:spacing w:after="80" w:before="180"/>
      </w:pPr>
      <w:r>
        <w:rPr>
          <w:rFonts w:ascii="Arial" w:cs="Arial" w:eastAsia="Arial" w:hAnsi="Arial"/>
          <w:b/>
          <w:bCs/>
          <w:color w:val="2C3E50"/>
          <w:sz w:val="24"/>
          <w:szCs w:val="24"/>
        </w:rPr>
        <w:t xml:space="preserve">8.2.1 Approval (Kreditgenehmigung)</w:t>
      </w:r>
    </w:p>
    <w:p>
      <w:pPr>
        <w:spacing w:after="80" w:before="80"/>
        <w:jc w:val="both"/>
      </w:pPr>
      <w:r>
        <w:rPr>
          <w:rFonts w:ascii="Arial" w:cs="Arial" w:eastAsia="Arial" w:hAnsi="Arial"/>
          <w:sz w:val="22"/>
          <w:szCs w:val="22"/>
        </w:rPr>
        <w:t xml:space="preserve">An approval is issued with specific terms and conditions. The formal credit commitment letter (Darlehenszusage) must specify: approved loan amount, interest rate (fixed/variable), loan term, repayment schedule, all conditions precedent, and all ongoing covenants. The commitment is valid for a defined period (standard: 4–6 weeks in the Berlin market).</w:t>
      </w:r>
    </w:p>
    <w:p>
      <w:pPr>
        <w:spacing w:after="60" w:before="60"/>
      </w:pPr>
      <w:r>
        <w:t xml:space="preserve"/>
      </w:r>
    </w:p>
    <w:p>
      <w:pPr>
        <w:pStyle w:val="Heading3"/>
        <w:spacing w:after="80" w:before="180"/>
      </w:pPr>
      <w:r>
        <w:rPr>
          <w:rFonts w:ascii="Arial" w:cs="Arial" w:eastAsia="Arial" w:hAnsi="Arial"/>
          <w:b/>
          <w:bCs/>
          <w:color w:val="2C3E50"/>
          <w:sz w:val="24"/>
          <w:szCs w:val="24"/>
        </w:rPr>
        <w:t xml:space="preserve">8.2.2 Conditional Approval (Bedingte Genehmigung)</w:t>
      </w:r>
    </w:p>
    <w:p>
      <w:pPr>
        <w:spacing w:after="80" w:before="80"/>
        <w:jc w:val="both"/>
      </w:pPr>
      <w:r>
        <w:rPr>
          <w:rFonts w:ascii="Arial" w:cs="Arial" w:eastAsia="Arial" w:hAnsi="Arial"/>
          <w:sz w:val="22"/>
          <w:szCs w:val="22"/>
        </w:rPr>
        <w:t xml:space="preserve">Where the application meets core underwriting criteria but additional requirements are outstanding, a conditional approval may be issued. Outstanding conditions must be documented precisely and a compliance deadline stipulated. Conditional approvals may not be communicated to borrowers as unconditional commitments.</w:t>
      </w:r>
    </w:p>
    <w:p>
      <w:pPr>
        <w:spacing w:after="60" w:before="60"/>
      </w:pPr>
      <w:r>
        <w:t xml:space="preserve"/>
      </w:r>
    </w:p>
    <w:p>
      <w:pPr>
        <w:pStyle w:val="Heading3"/>
        <w:spacing w:after="80" w:before="180"/>
      </w:pPr>
      <w:r>
        <w:rPr>
          <w:rFonts w:ascii="Arial" w:cs="Arial" w:eastAsia="Arial" w:hAnsi="Arial"/>
          <w:b/>
          <w:bCs/>
          <w:color w:val="2C3E50"/>
          <w:sz w:val="24"/>
          <w:szCs w:val="24"/>
        </w:rPr>
        <w:t xml:space="preserve">8.2.3 Counter-Offer</w:t>
      </w:r>
    </w:p>
    <w:p>
      <w:pPr>
        <w:spacing w:after="80" w:before="80"/>
        <w:jc w:val="both"/>
      </w:pPr>
      <w:r>
        <w:rPr>
          <w:rFonts w:ascii="Arial" w:cs="Arial" w:eastAsia="Arial" w:hAnsi="Arial"/>
          <w:sz w:val="22"/>
          <w:szCs w:val="22"/>
        </w:rPr>
        <w:t xml:space="preserve">Where the requested loan amount, LTV, or structure cannot be approved as submitted but a modified facility can be offered, the institution issues a formal counter-offer (Gegenangebot). The counter-offer documents the reasons for the modification and provides the borrower with a reasonable acceptance deadline.</w:t>
      </w:r>
    </w:p>
    <w:p>
      <w:pPr>
        <w:spacing w:after="60" w:before="60"/>
      </w:pPr>
      <w:r>
        <w:t xml:space="preserve"/>
      </w:r>
    </w:p>
    <w:p>
      <w:pPr>
        <w:pStyle w:val="Heading3"/>
        <w:spacing w:after="80" w:before="180"/>
      </w:pPr>
      <w:r>
        <w:rPr>
          <w:rFonts w:ascii="Arial" w:cs="Arial" w:eastAsia="Arial" w:hAnsi="Arial"/>
          <w:b/>
          <w:bCs/>
          <w:color w:val="2C3E50"/>
          <w:sz w:val="24"/>
          <w:szCs w:val="24"/>
        </w:rPr>
        <w:t xml:space="preserve">8.2.4 Decline (Ablehnung)</w:t>
      </w:r>
    </w:p>
    <w:p>
      <w:pPr>
        <w:spacing w:after="80" w:before="80"/>
        <w:jc w:val="both"/>
      </w:pPr>
      <w:r>
        <w:rPr>
          <w:rFonts w:ascii="Arial" w:cs="Arial" w:eastAsia="Arial" w:hAnsi="Arial"/>
          <w:sz w:val="22"/>
          <w:szCs w:val="22"/>
        </w:rPr>
        <w:t xml:space="preserve">Loan declines must be communicated to the applicant in writing. Per § 505b (4) BGB, where a credit application is declined based on automated data processing, the applicant has the right to request a human review. The decline letter must:</w:t>
      </w:r>
    </w:p>
    <w:p>
      <w:pPr>
        <w:pStyle w:val="ListParagraph"/>
        <w:numPr>
          <w:ilvl w:val="0"/>
          <w:numId w:val="2"/>
        </w:numPr>
        <w:spacing w:after="40" w:before="40"/>
      </w:pPr>
      <w:r>
        <w:rPr>
          <w:rFonts w:ascii="Arial" w:cs="Arial" w:eastAsia="Arial" w:hAnsi="Arial"/>
          <w:sz w:val="22"/>
          <w:szCs w:val="22"/>
        </w:rPr>
        <w:t xml:space="preserve">State that the application has been declined</w:t>
      </w:r>
    </w:p>
    <w:p>
      <w:pPr>
        <w:pStyle w:val="ListParagraph"/>
        <w:numPr>
          <w:ilvl w:val="0"/>
          <w:numId w:val="2"/>
        </w:numPr>
        <w:spacing w:after="40" w:before="40"/>
      </w:pPr>
      <w:r>
        <w:rPr>
          <w:rFonts w:ascii="Arial" w:cs="Arial" w:eastAsia="Arial" w:hAnsi="Arial"/>
          <w:sz w:val="22"/>
          <w:szCs w:val="22"/>
        </w:rPr>
        <w:t xml:space="preserve">Identify the credit bureau(s) consulted if the decline was credit-bureau-driven (SCHUFA obligation per DSGVO Art. 22)</w:t>
      </w:r>
    </w:p>
    <w:p>
      <w:pPr>
        <w:pStyle w:val="ListParagraph"/>
        <w:numPr>
          <w:ilvl w:val="0"/>
          <w:numId w:val="2"/>
        </w:numPr>
        <w:spacing w:after="40" w:before="40"/>
      </w:pPr>
      <w:r>
        <w:rPr>
          <w:rFonts w:ascii="Arial" w:cs="Arial" w:eastAsia="Arial" w:hAnsi="Arial"/>
          <w:sz w:val="22"/>
          <w:szCs w:val="22"/>
        </w:rPr>
        <w:t xml:space="preserve">NOT necessarily provide detailed reasons — however, institutional best practice recommends a factual, respectful explanation</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8.3 Appeals Process</w:t>
      </w:r>
    </w:p>
    <w:p>
      <w:pPr>
        <w:spacing w:after="80" w:before="80"/>
        <w:jc w:val="both"/>
      </w:pPr>
      <w:r>
        <w:rPr>
          <w:rFonts w:ascii="Arial" w:cs="Arial" w:eastAsia="Arial" w:hAnsi="Arial"/>
          <w:sz w:val="22"/>
          <w:szCs w:val="22"/>
        </w:rPr>
        <w:t xml:space="preserve">Applicants may lodge a written appeal (Widerspruch) within 30 days of receiving a decline. Appeals are reviewed by a senior credit officer not involved in the original decision. The appeals outcome is final within the institution. Applicants retain the right to file a complaint with BaFin or the relevant Ombudsstelle (banking ombudsman).</w:t>
      </w:r>
    </w:p>
    <w:p>
      <w:pPr>
        <w:spacing w:after="60" w:before="60"/>
      </w:pPr>
      <w:r>
        <w:t xml:space="preserve"/>
      </w:r>
    </w:p>
    <w:p>
      <w:pPr>
        <w:pStyle w:val="Heading1"/>
        <w:pBdr>
          <w:bottom w:val="single" w:color="2E5FA3" w:sz="8" w:space="4"/>
        </w:pBdr>
        <w:spacing w:after="120" w:before="360"/>
      </w:pPr>
      <w:r>
        <w:rPr>
          <w:rFonts w:ascii="Arial" w:cs="Arial" w:eastAsia="Arial" w:hAnsi="Arial"/>
          <w:b/>
          <w:bCs/>
          <w:color w:val="1B3A6B"/>
          <w:sz w:val="30"/>
          <w:szCs w:val="30"/>
        </w:rPr>
        <w:t xml:space="preserve">9. Strategic Orientation in Real Estate Lending</w:t>
      </w:r>
    </w:p>
    <w:p>
      <w:pPr>
        <w:pStyle w:val="Heading2"/>
        <w:spacing w:after="100" w:before="240"/>
      </w:pPr>
      <w:r>
        <w:rPr>
          <w:rFonts w:ascii="Arial" w:cs="Arial" w:eastAsia="Arial" w:hAnsi="Arial"/>
          <w:b/>
          <w:bCs/>
          <w:color w:val="2E5FA3"/>
          <w:sz w:val="26"/>
          <w:szCs w:val="26"/>
        </w:rPr>
        <w:t xml:space="preserve">9.1 Business Strategy Alignment</w:t>
      </w:r>
    </w:p>
    <w:p>
      <w:pPr>
        <w:spacing w:after="80" w:before="80"/>
        <w:jc w:val="both"/>
      </w:pPr>
      <w:r>
        <w:rPr>
          <w:rFonts w:ascii="Arial" w:cs="Arial" w:eastAsia="Arial" w:hAnsi="Arial"/>
          <w:sz w:val="22"/>
          <w:szCs w:val="22"/>
        </w:rPr>
        <w:t xml:space="preserve">The real estate lending strategy must be consistent with and derived from the institution's overall business strategy (Geschäftsstrategie) and risk strategy (Risikostrategie) as required by MaRisk AT 4.2. Senior management defines the strategic orientation of the real estate lending book, including target markets, customer segments, product range, and growth targets, on at least an annual basis.</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9.2 Berlin Market Strategy</w:t>
      </w:r>
    </w:p>
    <w:p>
      <w:pPr>
        <w:spacing w:after="80" w:before="80"/>
        <w:jc w:val="both"/>
      </w:pPr>
      <w:r>
        <w:rPr>
          <w:rFonts w:ascii="Arial" w:cs="Arial" w:eastAsia="Arial" w:hAnsi="Arial"/>
          <w:sz w:val="22"/>
          <w:szCs w:val="22"/>
        </w:rPr>
        <w:t xml:space="preserve">Given Berlin's status as Germany's capital and a major European metropolis with a dynamic and at times volatile property market, the institution's Berlin real estate strategy addresses:</w:t>
      </w:r>
    </w:p>
    <w:p>
      <w:pPr>
        <w:pStyle w:val="ListParagraph"/>
        <w:numPr>
          <w:ilvl w:val="0"/>
          <w:numId w:val="2"/>
        </w:numPr>
        <w:spacing w:after="40" w:before="40"/>
      </w:pPr>
      <w:r>
        <w:rPr>
          <w:rFonts w:ascii="Arial" w:cs="Arial" w:eastAsia="Arial" w:hAnsi="Arial"/>
          <w:sz w:val="22"/>
          <w:szCs w:val="22"/>
        </w:rPr>
        <w:t xml:space="preserve">Target sub-markets: residential (owner-occupied and buy-to-let), commercial, mixed-use, and development — with explicit portfolio allocations</w:t>
      </w:r>
    </w:p>
    <w:p>
      <w:pPr>
        <w:pStyle w:val="ListParagraph"/>
        <w:numPr>
          <w:ilvl w:val="0"/>
          <w:numId w:val="2"/>
        </w:numPr>
        <w:spacing w:after="40" w:before="40"/>
      </w:pPr>
      <w:r>
        <w:rPr>
          <w:rFonts w:ascii="Arial" w:cs="Arial" w:eastAsia="Arial" w:hAnsi="Arial"/>
          <w:sz w:val="22"/>
          <w:szCs w:val="22"/>
        </w:rPr>
        <w:t xml:space="preserve">Customer segments: private individuals, SMEs, institutional investors, housing cooperatives (Wohnungsbaugenossenschaften), and Berlin public housing companies (e.g., degewo, GESOBAU, HOWOGE)</w:t>
      </w:r>
    </w:p>
    <w:p>
      <w:pPr>
        <w:pStyle w:val="ListParagraph"/>
        <w:numPr>
          <w:ilvl w:val="0"/>
          <w:numId w:val="2"/>
        </w:numPr>
        <w:spacing w:after="40" w:before="40"/>
      </w:pPr>
      <w:r>
        <w:rPr>
          <w:rFonts w:ascii="Arial" w:cs="Arial" w:eastAsia="Arial" w:hAnsi="Arial"/>
          <w:sz w:val="22"/>
          <w:szCs w:val="22"/>
        </w:rPr>
        <w:t xml:space="preserve">Product strategy: fixed-rate standard mortgages (Annuitätendarlehen), variable-rate facilities, KfW-linked green finance, development loans</w:t>
      </w:r>
    </w:p>
    <w:p>
      <w:pPr>
        <w:pStyle w:val="ListParagraph"/>
        <w:numPr>
          <w:ilvl w:val="0"/>
          <w:numId w:val="2"/>
        </w:numPr>
        <w:spacing w:after="40" w:before="40"/>
      </w:pPr>
      <w:r>
        <w:rPr>
          <w:rFonts w:ascii="Arial" w:cs="Arial" w:eastAsia="Arial" w:hAnsi="Arial"/>
          <w:sz w:val="22"/>
          <w:szCs w:val="22"/>
        </w:rPr>
        <w:t xml:space="preserve">Geographic focus within Berlin: specific district-level exposure limits reviewed quarterly against Gutachterausschuss Berlin market data</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9.3 ESG &amp; Sustainable Finance Integration</w:t>
      </w:r>
    </w:p>
    <w:p>
      <w:pPr>
        <w:spacing w:after="80" w:before="80"/>
        <w:jc w:val="both"/>
      </w:pPr>
      <w:r>
        <w:rPr>
          <w:rFonts w:ascii="Arial" w:cs="Arial" w:eastAsia="Arial" w:hAnsi="Arial"/>
          <w:sz w:val="22"/>
          <w:szCs w:val="22"/>
        </w:rPr>
        <w:t xml:space="preserve">In alignment with the EU Taxonomy Regulation, EBA sustainability guidelines, and national BaFin supervisory expectations, the institution integrates ESG criteria into its real estate lending strategy:</w:t>
      </w:r>
    </w:p>
    <w:p>
      <w:pPr>
        <w:pStyle w:val="ListParagraph"/>
        <w:numPr>
          <w:ilvl w:val="0"/>
          <w:numId w:val="2"/>
        </w:numPr>
        <w:spacing w:after="40" w:before="40"/>
      </w:pPr>
      <w:r>
        <w:rPr>
          <w:rFonts w:ascii="Arial" w:cs="Arial" w:eastAsia="Arial" w:hAnsi="Arial"/>
          <w:sz w:val="22"/>
          <w:szCs w:val="22"/>
        </w:rPr>
        <w:t xml:space="preserve">Energy efficiency requirements: preference for properties with EPC rating A–C; premium pricing for non-ESG-compliant properties</w:t>
      </w:r>
    </w:p>
    <w:p>
      <w:pPr>
        <w:pStyle w:val="ListParagraph"/>
        <w:numPr>
          <w:ilvl w:val="0"/>
          <w:numId w:val="2"/>
        </w:numPr>
        <w:spacing w:after="40" w:before="40"/>
      </w:pPr>
      <w:r>
        <w:rPr>
          <w:rFonts w:ascii="Arial" w:cs="Arial" w:eastAsia="Arial" w:hAnsi="Arial"/>
          <w:sz w:val="22"/>
          <w:szCs w:val="22"/>
        </w:rPr>
        <w:t xml:space="preserve">Climate transition risk assessment in collateral valuation (flood zones, heat islands, stranded asset risk)</w:t>
      </w:r>
    </w:p>
    <w:p>
      <w:pPr>
        <w:pStyle w:val="ListParagraph"/>
        <w:numPr>
          <w:ilvl w:val="0"/>
          <w:numId w:val="2"/>
        </w:numPr>
        <w:spacing w:after="40" w:before="40"/>
      </w:pPr>
      <w:r>
        <w:rPr>
          <w:rFonts w:ascii="Arial" w:cs="Arial" w:eastAsia="Arial" w:hAnsi="Arial"/>
          <w:sz w:val="22"/>
          <w:szCs w:val="22"/>
        </w:rPr>
        <w:t xml:space="preserve">Disclosure obligations under EU SFDR and German EnEfG provisions</w:t>
      </w:r>
    </w:p>
    <w:p>
      <w:pPr>
        <w:pStyle w:val="ListParagraph"/>
        <w:numPr>
          <w:ilvl w:val="0"/>
          <w:numId w:val="2"/>
        </w:numPr>
        <w:spacing w:after="40" w:before="40"/>
      </w:pPr>
      <w:r>
        <w:rPr>
          <w:rFonts w:ascii="Arial" w:cs="Arial" w:eastAsia="Arial" w:hAnsi="Arial"/>
          <w:sz w:val="22"/>
          <w:szCs w:val="22"/>
        </w:rPr>
        <w:t xml:space="preserve">Green mortgage product line: enhanced LTV and rate incentives for energy-efficient properties and renovation finance</w:t>
      </w:r>
    </w:p>
    <w:p>
      <w:pPr>
        <w:spacing w:after="60" w:before="60"/>
      </w:pPr>
      <w:r>
        <w:t xml:space="preserve"/>
      </w:r>
    </w:p>
    <w:p>
      <w:pPr>
        <w:pStyle w:val="Heading1"/>
        <w:pBdr>
          <w:bottom w:val="single" w:color="2E5FA3" w:sz="8" w:space="4"/>
        </w:pBdr>
        <w:spacing w:after="120" w:before="360"/>
      </w:pPr>
      <w:r>
        <w:rPr>
          <w:rFonts w:ascii="Arial" w:cs="Arial" w:eastAsia="Arial" w:hAnsi="Arial"/>
          <w:b/>
          <w:bCs/>
          <w:color w:val="1B3A6B"/>
          <w:sz w:val="30"/>
          <w:szCs w:val="30"/>
        </w:rPr>
        <w:t xml:space="preserve">10. Risk Policy</w:t>
      </w:r>
    </w:p>
    <w:p>
      <w:pPr>
        <w:pStyle w:val="Heading2"/>
        <w:spacing w:after="100" w:before="240"/>
      </w:pPr>
      <w:r>
        <w:rPr>
          <w:rFonts w:ascii="Arial" w:cs="Arial" w:eastAsia="Arial" w:hAnsi="Arial"/>
          <w:b/>
          <w:bCs/>
          <w:color w:val="2E5FA3"/>
          <w:sz w:val="26"/>
          <w:szCs w:val="26"/>
        </w:rPr>
        <w:t xml:space="preserve">10.1 Risk Strategy Framework</w:t>
      </w:r>
    </w:p>
    <w:p>
      <w:pPr>
        <w:spacing w:after="80" w:before="80"/>
        <w:jc w:val="both"/>
      </w:pPr>
      <w:r>
        <w:rPr>
          <w:rFonts w:ascii="Arial" w:cs="Arial" w:eastAsia="Arial" w:hAnsi="Arial"/>
          <w:sz w:val="22"/>
          <w:szCs w:val="22"/>
        </w:rPr>
        <w:t xml:space="preserve">The risk policy for real estate lending is a component of the institution's comprehensive risk strategy, as mandated by MaRisk AT 4.2 and § 25a KWG. It defines risk appetite, risk tolerance thresholds, and the mechanisms for managing credit, market, operational, liquidity, and concentration risks inherent in real estate lending.</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10.2 Credit Risk Policy</w:t>
      </w:r>
    </w:p>
    <w:p>
      <w:pPr>
        <w:spacing w:after="80" w:before="80"/>
        <w:jc w:val="both"/>
      </w:pPr>
      <w:r>
        <w:rPr>
          <w:rFonts w:ascii="Arial" w:cs="Arial" w:eastAsia="Arial" w:hAnsi="Arial"/>
          <w:sz w:val="22"/>
          <w:szCs w:val="22"/>
        </w:rPr>
        <w:t xml:space="preserve">The credit risk policy establishes binding underwriting standards applicable to all real estate credits:</w:t>
      </w:r>
    </w:p>
    <w:p>
      <w:pPr>
        <w:pStyle w:val="ListParagraph"/>
        <w:numPr>
          <w:ilvl w:val="0"/>
          <w:numId w:val="2"/>
        </w:numPr>
        <w:spacing w:after="40" w:before="40"/>
      </w:pPr>
      <w:r>
        <w:rPr>
          <w:rFonts w:ascii="Arial" w:cs="Arial" w:eastAsia="Arial" w:hAnsi="Arial"/>
          <w:sz w:val="22"/>
          <w:szCs w:val="22"/>
        </w:rPr>
        <w:t xml:space="preserve">Minimum DSCR of 1.25x for investment properties under a stressed rate scenario</w:t>
      </w:r>
    </w:p>
    <w:p>
      <w:pPr>
        <w:pStyle w:val="ListParagraph"/>
        <w:numPr>
          <w:ilvl w:val="0"/>
          <w:numId w:val="2"/>
        </w:numPr>
        <w:spacing w:after="40" w:before="40"/>
      </w:pPr>
      <w:r>
        <w:rPr>
          <w:rFonts w:ascii="Arial" w:cs="Arial" w:eastAsia="Arial" w:hAnsi="Arial"/>
          <w:sz w:val="22"/>
          <w:szCs w:val="22"/>
        </w:rPr>
        <w:t xml:space="preserve">Maximum initial LTV of 80% for residential owner-occupied properties without supplemental collateral</w:t>
      </w:r>
    </w:p>
    <w:p>
      <w:pPr>
        <w:pStyle w:val="ListParagraph"/>
        <w:numPr>
          <w:ilvl w:val="0"/>
          <w:numId w:val="2"/>
        </w:numPr>
        <w:spacing w:after="40" w:before="40"/>
      </w:pPr>
      <w:r>
        <w:rPr>
          <w:rFonts w:ascii="Arial" w:cs="Arial" w:eastAsia="Arial" w:hAnsi="Arial"/>
          <w:sz w:val="22"/>
          <w:szCs w:val="22"/>
        </w:rPr>
        <w:t xml:space="preserve">Prohibition on interest-only structures beyond 5 years without Board-approved exception</w:t>
      </w:r>
    </w:p>
    <w:p>
      <w:pPr>
        <w:pStyle w:val="ListParagraph"/>
        <w:numPr>
          <w:ilvl w:val="0"/>
          <w:numId w:val="2"/>
        </w:numPr>
        <w:spacing w:after="40" w:before="40"/>
      </w:pPr>
      <w:r>
        <w:rPr>
          <w:rFonts w:ascii="Arial" w:cs="Arial" w:eastAsia="Arial" w:hAnsi="Arial"/>
          <w:sz w:val="22"/>
          <w:szCs w:val="22"/>
        </w:rPr>
        <w:t xml:space="preserve">Foreign currency loans to private borrowers: prohibited per BaFin circular requirements</w:t>
      </w:r>
    </w:p>
    <w:p>
      <w:pPr>
        <w:pStyle w:val="ListParagraph"/>
        <w:numPr>
          <w:ilvl w:val="0"/>
          <w:numId w:val="2"/>
        </w:numPr>
        <w:spacing w:after="40" w:before="40"/>
      </w:pPr>
      <w:r>
        <w:rPr>
          <w:rFonts w:ascii="Arial" w:cs="Arial" w:eastAsia="Arial" w:hAnsi="Arial"/>
          <w:sz w:val="22"/>
          <w:szCs w:val="22"/>
        </w:rPr>
        <w:t xml:space="preserve">Loan term limits: maximum 35 years for residential, 20 years for commercial real estate</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10.3 Market &amp; Collateral Risk</w:t>
      </w:r>
    </w:p>
    <w:p>
      <w:pPr>
        <w:spacing w:after="80" w:before="80"/>
        <w:jc w:val="both"/>
      </w:pPr>
      <w:r>
        <w:rPr>
          <w:rFonts w:ascii="Arial" w:cs="Arial" w:eastAsia="Arial" w:hAnsi="Arial"/>
          <w:sz w:val="22"/>
          <w:szCs w:val="22"/>
        </w:rPr>
        <w:t xml:space="preserve">Berlin real estate market risk is managed through:</w:t>
      </w:r>
    </w:p>
    <w:p>
      <w:pPr>
        <w:pStyle w:val="ListParagraph"/>
        <w:numPr>
          <w:ilvl w:val="0"/>
          <w:numId w:val="2"/>
        </w:numPr>
        <w:spacing w:after="40" w:before="40"/>
      </w:pPr>
      <w:r>
        <w:rPr>
          <w:rFonts w:ascii="Arial" w:cs="Arial" w:eastAsia="Arial" w:hAnsi="Arial"/>
          <w:sz w:val="22"/>
          <w:szCs w:val="22"/>
        </w:rPr>
        <w:t xml:space="preserve">Quarterly revaluation triggers based on district-level index movements (Gutachterausschuss Berlin)</w:t>
      </w:r>
    </w:p>
    <w:p>
      <w:pPr>
        <w:pStyle w:val="ListParagraph"/>
        <w:numPr>
          <w:ilvl w:val="0"/>
          <w:numId w:val="2"/>
        </w:numPr>
        <w:spacing w:after="40" w:before="40"/>
      </w:pPr>
      <w:r>
        <w:rPr>
          <w:rFonts w:ascii="Arial" w:cs="Arial" w:eastAsia="Arial" w:hAnsi="Arial"/>
          <w:sz w:val="22"/>
          <w:szCs w:val="22"/>
        </w:rPr>
        <w:t xml:space="preserve">Mandatory revaluation for all exposures above €1,000,000 every 3 years (residential) and every 1 year (commercial), per CRR Art. 208</w:t>
      </w:r>
    </w:p>
    <w:p>
      <w:pPr>
        <w:pStyle w:val="ListParagraph"/>
        <w:numPr>
          <w:ilvl w:val="0"/>
          <w:numId w:val="2"/>
        </w:numPr>
        <w:spacing w:after="40" w:before="40"/>
      </w:pPr>
      <w:r>
        <w:rPr>
          <w:rFonts w:ascii="Arial" w:cs="Arial" w:eastAsia="Arial" w:hAnsi="Arial"/>
          <w:sz w:val="22"/>
          <w:szCs w:val="22"/>
        </w:rPr>
        <w:t xml:space="preserve">Stress testing: annual portfolio-level real estate market stress test with 20% and 40% value decline scenarios</w:t>
      </w:r>
    </w:p>
    <w:p>
      <w:pPr>
        <w:pStyle w:val="ListParagraph"/>
        <w:numPr>
          <w:ilvl w:val="0"/>
          <w:numId w:val="2"/>
        </w:numPr>
        <w:spacing w:after="40" w:before="40"/>
      </w:pPr>
      <w:r>
        <w:rPr>
          <w:rFonts w:ascii="Arial" w:cs="Arial" w:eastAsia="Arial" w:hAnsi="Arial"/>
          <w:sz w:val="22"/>
          <w:szCs w:val="22"/>
        </w:rPr>
        <w:t xml:space="preserve">Sectoral concentration limits reviewed and approved by the Board at least annually</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10.4 Operational Risk Controls</w:t>
      </w:r>
    </w:p>
    <w:p>
      <w:pPr>
        <w:pStyle w:val="ListParagraph"/>
        <w:numPr>
          <w:ilvl w:val="0"/>
          <w:numId w:val="2"/>
        </w:numPr>
        <w:spacing w:after="40" w:before="40"/>
      </w:pPr>
      <w:r>
        <w:rPr>
          <w:rFonts w:ascii="Arial" w:cs="Arial" w:eastAsia="Arial" w:hAnsi="Arial"/>
          <w:sz w:val="22"/>
          <w:szCs w:val="22"/>
        </w:rPr>
        <w:t xml:space="preserve">Strict segregation of duties between origination, analysis, approval, and documentation functions</w:t>
      </w:r>
    </w:p>
    <w:p>
      <w:pPr>
        <w:pStyle w:val="ListParagraph"/>
        <w:numPr>
          <w:ilvl w:val="0"/>
          <w:numId w:val="2"/>
        </w:numPr>
        <w:spacing w:after="40" w:before="40"/>
      </w:pPr>
      <w:r>
        <w:rPr>
          <w:rFonts w:ascii="Arial" w:cs="Arial" w:eastAsia="Arial" w:hAnsi="Arial"/>
          <w:sz w:val="22"/>
          <w:szCs w:val="22"/>
        </w:rPr>
        <w:t xml:space="preserve">Regular internal audit (Interne Revision) reviews of credit file completeness and process compliance</w:t>
      </w:r>
    </w:p>
    <w:p>
      <w:pPr>
        <w:pStyle w:val="ListParagraph"/>
        <w:numPr>
          <w:ilvl w:val="0"/>
          <w:numId w:val="2"/>
        </w:numPr>
        <w:spacing w:after="40" w:before="40"/>
      </w:pPr>
      <w:r>
        <w:rPr>
          <w:rFonts w:ascii="Arial" w:cs="Arial" w:eastAsia="Arial" w:hAnsi="Arial"/>
          <w:sz w:val="22"/>
          <w:szCs w:val="22"/>
        </w:rPr>
        <w:t xml:space="preserve">Automated workflow management to ensure compliance with statutory processing timelines</w:t>
      </w:r>
    </w:p>
    <w:p>
      <w:pPr>
        <w:pStyle w:val="ListParagraph"/>
        <w:numPr>
          <w:ilvl w:val="0"/>
          <w:numId w:val="2"/>
        </w:numPr>
        <w:spacing w:after="40" w:before="40"/>
      </w:pPr>
      <w:r>
        <w:rPr>
          <w:rFonts w:ascii="Arial" w:cs="Arial" w:eastAsia="Arial" w:hAnsi="Arial"/>
          <w:sz w:val="22"/>
          <w:szCs w:val="22"/>
        </w:rPr>
        <w:t xml:space="preserve">Fraud detection protocols including income document authenticity verification and Grundbuch cross-referencing</w:t>
      </w:r>
    </w:p>
    <w:p>
      <w:pPr>
        <w:spacing w:after="60" w:before="60"/>
      </w:pPr>
      <w:r>
        <w:t xml:space="preserve"/>
      </w:r>
    </w:p>
    <w:p>
      <w:pPr>
        <w:pStyle w:val="Heading1"/>
        <w:pBdr>
          <w:bottom w:val="single" w:color="2E5FA3" w:sz="8" w:space="4"/>
        </w:pBdr>
        <w:spacing w:after="120" w:before="360"/>
      </w:pPr>
      <w:r>
        <w:rPr>
          <w:rFonts w:ascii="Arial" w:cs="Arial" w:eastAsia="Arial" w:hAnsi="Arial"/>
          <w:b/>
          <w:bCs/>
          <w:color w:val="1B3A6B"/>
          <w:sz w:val="30"/>
          <w:szCs w:val="30"/>
        </w:rPr>
        <w:t xml:space="preserve">11. Equity Capital Requirements</w:t>
      </w:r>
    </w:p>
    <w:p>
      <w:pPr>
        <w:pStyle w:val="Heading2"/>
        <w:spacing w:after="100" w:before="240"/>
      </w:pPr>
      <w:r>
        <w:rPr>
          <w:rFonts w:ascii="Arial" w:cs="Arial" w:eastAsia="Arial" w:hAnsi="Arial"/>
          <w:b/>
          <w:bCs/>
          <w:color w:val="2E5FA3"/>
          <w:sz w:val="26"/>
          <w:szCs w:val="26"/>
        </w:rPr>
        <w:t xml:space="preserve">11.1 Regulatory Capital — CRR Framework</w:t>
      </w:r>
    </w:p>
    <w:p>
      <w:pPr>
        <w:spacing w:after="80" w:before="80"/>
        <w:jc w:val="both"/>
      </w:pPr>
      <w:r>
        <w:rPr>
          <w:rFonts w:ascii="Arial" w:cs="Arial" w:eastAsia="Arial" w:hAnsi="Arial"/>
          <w:sz w:val="22"/>
          <w:szCs w:val="22"/>
        </w:rPr>
        <w:t xml:space="preserve">Regulatory capital requirements for real estate exposures are governed by the Capital Requirements Regulation (EU) No 575/2013 (CRR) and the Capital Requirements Directive (CRD IV/V), as implemented in Germany through the Solvabilitätsverordnung (SolvV) and KWG.</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gridSpan w:val="2"/>
            <w:tcBorders>
              <w:top w:val="single" w:color="2E5FA3" w:sz="1"/>
              <w:left w:val="single" w:color="2E5FA3" w:sz="1"/>
              <w:bottom w:val="single" w:color="2E5FA3" w:sz="1"/>
              <w:right w:val="single" w:color="2E5FA3" w:sz="1"/>
            </w:tcBorders>
            <w:shd w:fill="2E5FA3" w:val="clear"/>
            <w:tcMar>
              <w:top w:type="dxa" w:w="100"/>
              <w:left w:type="dxa" w:w="160"/>
              <w:bottom w:type="dxa" w:w="100"/>
              <w:right w:type="dxa" w:w="160"/>
            </w:tcMar>
          </w:tcPr>
          <w:p>
            <w:r>
              <w:rPr>
                <w:rFonts w:ascii="Arial" w:cs="Arial" w:eastAsia="Arial" w:hAnsi="Arial"/>
                <w:b/>
                <w:bCs/>
                <w:color w:val="FFFFFF"/>
                <w:sz w:val="22"/>
                <w:szCs w:val="22"/>
              </w:rPr>
              <w:t xml:space="preserve">Risk Weights under Standardised Approach (CRR Art. 125–126)</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Residential Real Estate (LTV ≤ 80%)</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35% risk weight — applying to the portion secured by property</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Residential Real Estate (LTV &gt; 80%)</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75% risk weight on the excess portion; 35% on the secured portion</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Commercial Real Estate (LTV ≤ 60%)</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50% risk weight</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Commercial Real Estate (LTV &gt; 60%)</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100% risk weight on excess; 50% on secured portion</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Exposures in Default</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100–150% risk weight depending on specific loss provisions</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Pillar 2 Add-ons (BaFin SREP)</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Institution-specific add-ons may apply based on supervisory review results</w:t>
            </w:r>
          </w:p>
        </w:tc>
      </w:tr>
    </w:tbl>
    <w:p>
      <w:pPr>
        <w:spacing w:after="60" w:before="60"/>
      </w:pPr>
      <w:r>
        <w:t xml:space="preserve"/>
      </w:r>
    </w:p>
    <w:p>
      <w:pPr>
        <w:pStyle w:val="Heading2"/>
        <w:spacing w:after="100" w:before="240"/>
      </w:pPr>
      <w:r>
        <w:rPr>
          <w:rFonts w:ascii="Arial" w:cs="Arial" w:eastAsia="Arial" w:hAnsi="Arial"/>
          <w:b/>
          <w:bCs/>
          <w:color w:val="2E5FA3"/>
          <w:sz w:val="26"/>
          <w:szCs w:val="26"/>
        </w:rPr>
        <w:t xml:space="preserve">11.2 Internal Capital Adequacy Assessment (ICAAP)</w:t>
      </w:r>
    </w:p>
    <w:p>
      <w:pPr>
        <w:spacing w:after="80" w:before="80"/>
        <w:jc w:val="both"/>
      </w:pPr>
      <w:r>
        <w:rPr>
          <w:rFonts w:ascii="Arial" w:cs="Arial" w:eastAsia="Arial" w:hAnsi="Arial"/>
          <w:sz w:val="22"/>
          <w:szCs w:val="22"/>
        </w:rPr>
        <w:t xml:space="preserve">In addition to regulatory minimum capital, the institution must maintain internal capital sufficient to cover all material risks pursuant to MaRisk AT 4.1 and the CRD IV ICAAP framework. For real estate lending, ICAAP capital allocation reflects:</w:t>
      </w:r>
    </w:p>
    <w:p>
      <w:pPr>
        <w:pStyle w:val="ListParagraph"/>
        <w:numPr>
          <w:ilvl w:val="0"/>
          <w:numId w:val="2"/>
        </w:numPr>
        <w:spacing w:after="40" w:before="40"/>
      </w:pPr>
      <w:r>
        <w:rPr>
          <w:rFonts w:ascii="Arial" w:cs="Arial" w:eastAsia="Arial" w:hAnsi="Arial"/>
          <w:sz w:val="22"/>
          <w:szCs w:val="22"/>
        </w:rPr>
        <w:t xml:space="preserve">Expected loss (EL) based on historical default rates for Berlin real estate exposures</w:t>
      </w:r>
    </w:p>
    <w:p>
      <w:pPr>
        <w:pStyle w:val="ListParagraph"/>
        <w:numPr>
          <w:ilvl w:val="0"/>
          <w:numId w:val="2"/>
        </w:numPr>
        <w:spacing w:after="40" w:before="40"/>
      </w:pPr>
      <w:r>
        <w:rPr>
          <w:rFonts w:ascii="Arial" w:cs="Arial" w:eastAsia="Arial" w:hAnsi="Arial"/>
          <w:sz w:val="22"/>
          <w:szCs w:val="22"/>
        </w:rPr>
        <w:t xml:space="preserve">Unexpected loss (UL) capital buffer based on VaR/CVaR models calibrated to Berlin market data</w:t>
      </w:r>
    </w:p>
    <w:p>
      <w:pPr>
        <w:pStyle w:val="ListParagraph"/>
        <w:numPr>
          <w:ilvl w:val="0"/>
          <w:numId w:val="2"/>
        </w:numPr>
        <w:spacing w:after="40" w:before="40"/>
      </w:pPr>
      <w:r>
        <w:rPr>
          <w:rFonts w:ascii="Arial" w:cs="Arial" w:eastAsia="Arial" w:hAnsi="Arial"/>
          <w:sz w:val="22"/>
          <w:szCs w:val="22"/>
        </w:rPr>
        <w:t xml:space="preserve">Concentration risk capital add-on for geographic and sectoral concentrations</w:t>
      </w:r>
    </w:p>
    <w:p>
      <w:pPr>
        <w:pStyle w:val="ListParagraph"/>
        <w:numPr>
          <w:ilvl w:val="0"/>
          <w:numId w:val="2"/>
        </w:numPr>
        <w:spacing w:after="40" w:before="40"/>
      </w:pPr>
      <w:r>
        <w:rPr>
          <w:rFonts w:ascii="Arial" w:cs="Arial" w:eastAsia="Arial" w:hAnsi="Arial"/>
          <w:sz w:val="22"/>
          <w:szCs w:val="22"/>
        </w:rPr>
        <w:t xml:space="preserve">Stress test capital requirements based on ECB/BaFin prescribed adverse scenarios</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11.3 Minimum Equity Requirements for Borrowers</w:t>
      </w:r>
    </w:p>
    <w:p>
      <w:pPr>
        <w:spacing w:after="80" w:before="80"/>
        <w:jc w:val="both"/>
      </w:pPr>
      <w:r>
        <w:rPr>
          <w:rFonts w:ascii="Arial" w:cs="Arial" w:eastAsia="Arial" w:hAnsi="Arial"/>
          <w:sz w:val="22"/>
          <w:szCs w:val="22"/>
        </w:rPr>
        <w:t xml:space="preserve">Institutional policy mandates minimum equity contributions from borrowers as follows:</w:t>
      </w:r>
    </w:p>
    <w:p>
      <w:pPr>
        <w:pStyle w:val="ListParagraph"/>
        <w:numPr>
          <w:ilvl w:val="0"/>
          <w:numId w:val="2"/>
        </w:numPr>
        <w:spacing w:after="40" w:before="40"/>
      </w:pPr>
      <w:r>
        <w:rPr>
          <w:rFonts w:ascii="Arial" w:cs="Arial" w:eastAsia="Arial" w:hAnsi="Arial"/>
          <w:sz w:val="22"/>
          <w:szCs w:val="22"/>
        </w:rPr>
        <w:t xml:space="preserve">Standard residential (owner-occupied): minimum 20% of total project costs (purchase price + ancillary costs)</w:t>
      </w:r>
    </w:p>
    <w:p>
      <w:pPr>
        <w:pStyle w:val="ListParagraph"/>
        <w:numPr>
          <w:ilvl w:val="0"/>
          <w:numId w:val="2"/>
        </w:numPr>
        <w:spacing w:after="40" w:before="40"/>
      </w:pPr>
      <w:r>
        <w:rPr>
          <w:rFonts w:ascii="Arial" w:cs="Arial" w:eastAsia="Arial" w:hAnsi="Arial"/>
          <w:sz w:val="22"/>
          <w:szCs w:val="22"/>
        </w:rPr>
        <w:t xml:space="preserve">Buy-to-let investment: minimum 30% of total project costs</w:t>
      </w:r>
    </w:p>
    <w:p>
      <w:pPr>
        <w:pStyle w:val="ListParagraph"/>
        <w:numPr>
          <w:ilvl w:val="0"/>
          <w:numId w:val="2"/>
        </w:numPr>
        <w:spacing w:after="40" w:before="40"/>
      </w:pPr>
      <w:r>
        <w:rPr>
          <w:rFonts w:ascii="Arial" w:cs="Arial" w:eastAsia="Arial" w:hAnsi="Arial"/>
          <w:sz w:val="22"/>
          <w:szCs w:val="22"/>
        </w:rPr>
        <w:t xml:space="preserve">Commercial real estate: minimum 35% of total project costs; higher for development finance</w:t>
      </w:r>
    </w:p>
    <w:p>
      <w:pPr>
        <w:pStyle w:val="ListParagraph"/>
        <w:numPr>
          <w:ilvl w:val="0"/>
          <w:numId w:val="2"/>
        </w:numPr>
        <w:spacing w:after="40" w:before="40"/>
      </w:pPr>
      <w:r>
        <w:rPr>
          <w:rFonts w:ascii="Arial" w:cs="Arial" w:eastAsia="Arial" w:hAnsi="Arial"/>
          <w:sz w:val="22"/>
          <w:szCs w:val="22"/>
        </w:rPr>
        <w:t xml:space="preserve">Berlin ancillary acquisition costs (Kaufnebenkosten): typically 12–15% of purchase price (6% Grunderwerbsteuer, 1.5–2% notary fees, up to 7.14% estate agent fee) — these must be equity-funded unless specifically agreed otherwise</w:t>
      </w:r>
    </w:p>
    <w:p>
      <w:pPr>
        <w:spacing w:after="60" w:before="60"/>
      </w:pPr>
      <w:r>
        <w:t xml:space="preserve"/>
      </w:r>
    </w:p>
    <w:p>
      <w:pPr>
        <w:pStyle w:val="Heading1"/>
        <w:pBdr>
          <w:bottom w:val="single" w:color="2E5FA3" w:sz="8" w:space="4"/>
        </w:pBdr>
        <w:spacing w:after="120" w:before="360"/>
      </w:pPr>
      <w:r>
        <w:rPr>
          <w:rFonts w:ascii="Arial" w:cs="Arial" w:eastAsia="Arial" w:hAnsi="Arial"/>
          <w:b/>
          <w:bCs/>
          <w:color w:val="1B3A6B"/>
          <w:sz w:val="30"/>
          <w:szCs w:val="30"/>
        </w:rPr>
        <w:t xml:space="preserve">12. Liquidity Management (§§ 488, 490 BGB)</w:t>
      </w:r>
    </w:p>
    <w:p>
      <w:pPr>
        <w:pStyle w:val="Heading2"/>
        <w:spacing w:after="100" w:before="240"/>
      </w:pPr>
      <w:r>
        <w:rPr>
          <w:rFonts w:ascii="Arial" w:cs="Arial" w:eastAsia="Arial" w:hAnsi="Arial"/>
          <w:b/>
          <w:bCs/>
          <w:color w:val="2E5FA3"/>
          <w:sz w:val="26"/>
          <w:szCs w:val="26"/>
        </w:rPr>
        <w:t xml:space="preserve">12.1 Liquidity Risk in Real Estate Lending</w:t>
      </w:r>
    </w:p>
    <w:p>
      <w:pPr>
        <w:spacing w:after="80" w:before="80"/>
        <w:jc w:val="both"/>
      </w:pPr>
      <w:r>
        <w:rPr>
          <w:rFonts w:ascii="Arial" w:cs="Arial" w:eastAsia="Arial" w:hAnsi="Arial"/>
          <w:sz w:val="22"/>
          <w:szCs w:val="22"/>
        </w:rPr>
        <w:t xml:space="preserve">Real estate loans are typically long-dated, illiquid assets on the institution's balance sheet. Effective liquidity risk management, as mandated by MaRisk BTR 3 and the EU Liquidity Coverage Ratio (LCR) and Net Stable Funding Ratio (NSFR) requirements under CRR, is therefore essential.</w:t>
      </w:r>
    </w:p>
    <w:p>
      <w:pPr>
        <w:spacing w:after="60" w:before="60"/>
      </w:pPr>
      <w:r>
        <w:t xml:space="preserve"/>
      </w:r>
    </w:p>
    <w:p>
      <w:pPr>
        <w:spacing w:after="60" w:before="60"/>
      </w:pPr>
      <w:r>
        <w:rPr>
          <w:rFonts w:ascii="Arial" w:cs="Arial" w:eastAsia="Arial" w:hAnsi="Arial"/>
          <w:color w:val="2E5FA3"/>
          <w:sz w:val="22"/>
          <w:szCs w:val="22"/>
        </w:rPr>
        <w:t xml:space="preserve">⚖ </w:t>
      </w:r>
      <w:r>
        <w:rPr>
          <w:rFonts w:ascii="Arial" w:cs="Arial" w:eastAsia="Arial" w:hAnsi="Arial"/>
          <w:i/>
          <w:iCs/>
          <w:color w:val="3A3A3A"/>
          <w:sz w:val="22"/>
          <w:szCs w:val="22"/>
        </w:rPr>
        <w:t xml:space="preserve">§ 488 BGB: The lender's obligation to disburse loan funds creates a committed liquidity obligation. § 490 BGB: Extraordinary termination rights affect cash flow planning when borrowers exercise early repayment rights, which must be modelled as an outflow scenario in the institution's liquidity stress tests.</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12.2 Funding Strategy</w:t>
      </w:r>
    </w:p>
    <w:p>
      <w:pPr>
        <w:spacing w:after="80" w:before="80"/>
        <w:jc w:val="both"/>
      </w:pPr>
      <w:r>
        <w:rPr>
          <w:rFonts w:ascii="Arial" w:cs="Arial" w:eastAsia="Arial" w:hAnsi="Arial"/>
          <w:sz w:val="22"/>
          <w:szCs w:val="22"/>
        </w:rPr>
        <w:t xml:space="preserve">The real estate lending book is funded through:</w:t>
      </w:r>
    </w:p>
    <w:p>
      <w:pPr>
        <w:pStyle w:val="ListParagraph"/>
        <w:numPr>
          <w:ilvl w:val="0"/>
          <w:numId w:val="2"/>
        </w:numPr>
        <w:spacing w:after="40" w:before="40"/>
      </w:pPr>
      <w:r>
        <w:rPr>
          <w:rFonts w:ascii="Arial" w:cs="Arial" w:eastAsia="Arial" w:hAnsi="Arial"/>
          <w:sz w:val="22"/>
          <w:szCs w:val="22"/>
        </w:rPr>
        <w:t xml:space="preserve">Retail and institutional deposits — subject to stability assumptions under LCR/NSFR models</w:t>
      </w:r>
    </w:p>
    <w:p>
      <w:pPr>
        <w:pStyle w:val="ListParagraph"/>
        <w:numPr>
          <w:ilvl w:val="0"/>
          <w:numId w:val="2"/>
        </w:numPr>
        <w:spacing w:after="40" w:before="40"/>
      </w:pPr>
      <w:r>
        <w:rPr>
          <w:rFonts w:ascii="Arial" w:cs="Arial" w:eastAsia="Arial" w:hAnsi="Arial"/>
          <w:sz w:val="22"/>
          <w:szCs w:val="22"/>
        </w:rPr>
        <w:t xml:space="preserve">Pfandbrief issuance (covered bonds) — for qualifying mortgage collateral pool under PfandBG</w:t>
      </w:r>
    </w:p>
    <w:p>
      <w:pPr>
        <w:pStyle w:val="ListParagraph"/>
        <w:numPr>
          <w:ilvl w:val="0"/>
          <w:numId w:val="2"/>
        </w:numPr>
        <w:spacing w:after="40" w:before="40"/>
      </w:pPr>
      <w:r>
        <w:rPr>
          <w:rFonts w:ascii="Arial" w:cs="Arial" w:eastAsia="Arial" w:hAnsi="Arial"/>
          <w:sz w:val="22"/>
          <w:szCs w:val="22"/>
        </w:rPr>
        <w:t xml:space="preserve">ECB refinancing operations — TLTRO and standard MRO/LTRO access</w:t>
      </w:r>
    </w:p>
    <w:p>
      <w:pPr>
        <w:pStyle w:val="ListParagraph"/>
        <w:numPr>
          <w:ilvl w:val="0"/>
          <w:numId w:val="2"/>
        </w:numPr>
        <w:spacing w:after="40" w:before="40"/>
      </w:pPr>
      <w:r>
        <w:rPr>
          <w:rFonts w:ascii="Arial" w:cs="Arial" w:eastAsia="Arial" w:hAnsi="Arial"/>
          <w:sz w:val="22"/>
          <w:szCs w:val="22"/>
        </w:rPr>
        <w:t xml:space="preserve">KfW promotional lending programmes (ERP, KfW Wohneigentumsprogramm, BEG) — pass-through liquidity</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12.3 Early Repayment (Vorfälligkeitsentschädigung) — § 490 BGB</w:t>
      </w:r>
    </w:p>
    <w:p>
      <w:pPr>
        <w:spacing w:after="80" w:before="80"/>
        <w:jc w:val="both"/>
      </w:pPr>
      <w:r>
        <w:rPr>
          <w:rFonts w:ascii="Arial" w:cs="Arial" w:eastAsia="Arial" w:hAnsi="Arial"/>
          <w:sz w:val="22"/>
          <w:szCs w:val="22"/>
        </w:rPr>
        <w:t xml:space="preserve">Under § 490 BGB, borrowers have an extraordinary termination right where a legitimate interest exists (e.g., property sale, divorce, hardship). The institution must calculate and disclose the Vorfälligkeitsentschädigung (early repayment compensation) transparently per BaFin-approved methods. For fixed-rate loans, the standard actuarial method (Finanzmathematische Methode) applying the Pfandbriefrendite is used as reference yield.</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12.4 Liquidity Stress Testing for RE Portfolios</w:t>
      </w:r>
    </w:p>
    <w:p>
      <w:pPr>
        <w:spacing w:after="80" w:before="80"/>
        <w:jc w:val="both"/>
      </w:pPr>
      <w:r>
        <w:rPr>
          <w:rFonts w:ascii="Arial" w:cs="Arial" w:eastAsia="Arial" w:hAnsi="Arial"/>
          <w:sz w:val="22"/>
          <w:szCs w:val="22"/>
        </w:rPr>
        <w:t xml:space="preserve">The liquidity stress test framework models the following real estate-specific scenarios:</w:t>
      </w:r>
    </w:p>
    <w:p>
      <w:pPr>
        <w:pStyle w:val="ListParagraph"/>
        <w:numPr>
          <w:ilvl w:val="0"/>
          <w:numId w:val="2"/>
        </w:numPr>
        <w:spacing w:after="40" w:before="40"/>
      </w:pPr>
      <w:r>
        <w:rPr>
          <w:rFonts w:ascii="Arial" w:cs="Arial" w:eastAsia="Arial" w:hAnsi="Arial"/>
          <w:sz w:val="22"/>
          <w:szCs w:val="22"/>
        </w:rPr>
        <w:t xml:space="preserve">Mass early repayment event: 15% of fixed-rate book exercises § 490 termination rights in one quarter</w:t>
      </w:r>
    </w:p>
    <w:p>
      <w:pPr>
        <w:pStyle w:val="ListParagraph"/>
        <w:numPr>
          <w:ilvl w:val="0"/>
          <w:numId w:val="2"/>
        </w:numPr>
        <w:spacing w:after="40" w:before="40"/>
      </w:pPr>
      <w:r>
        <w:rPr>
          <w:rFonts w:ascii="Arial" w:cs="Arial" w:eastAsia="Arial" w:hAnsi="Arial"/>
          <w:sz w:val="22"/>
          <w:szCs w:val="22"/>
        </w:rPr>
        <w:t xml:space="preserve">Draw-down acceleration: construction finance tranches drawn ahead of schedule due to fast-track project completion</w:t>
      </w:r>
    </w:p>
    <w:p>
      <w:pPr>
        <w:pStyle w:val="ListParagraph"/>
        <w:numPr>
          <w:ilvl w:val="0"/>
          <w:numId w:val="2"/>
        </w:numPr>
        <w:spacing w:after="40" w:before="40"/>
      </w:pPr>
      <w:r>
        <w:rPr>
          <w:rFonts w:ascii="Arial" w:cs="Arial" w:eastAsia="Arial" w:hAnsi="Arial"/>
          <w:sz w:val="22"/>
          <w:szCs w:val="22"/>
        </w:rPr>
        <w:t xml:space="preserve">Collateral value shock: 30% Berlin property value decline triggers LTV covenant breaches requiring additional collateral calls</w:t>
      </w:r>
    </w:p>
    <w:p>
      <w:pPr>
        <w:pStyle w:val="ListParagraph"/>
        <w:numPr>
          <w:ilvl w:val="0"/>
          <w:numId w:val="2"/>
        </w:numPr>
        <w:spacing w:after="40" w:before="40"/>
      </w:pPr>
      <w:r>
        <w:rPr>
          <w:rFonts w:ascii="Arial" w:cs="Arial" w:eastAsia="Arial" w:hAnsi="Arial"/>
          <w:sz w:val="22"/>
          <w:szCs w:val="22"/>
        </w:rPr>
        <w:t xml:space="preserve">Rental income disruption for investment properties: modelled at 60% occupancy for 2 quarters</w:t>
      </w:r>
    </w:p>
    <w:p>
      <w:pPr>
        <w:spacing w:after="60" w:before="60"/>
      </w:pPr>
      <w:r>
        <w:t xml:space="preserve"/>
      </w:r>
    </w:p>
    <w:p>
      <w:pPr>
        <w:pStyle w:val="Heading1"/>
        <w:pBdr>
          <w:bottom w:val="single" w:color="2E5FA3" w:sz="8" w:space="4"/>
        </w:pBdr>
        <w:spacing w:after="120" w:before="360"/>
      </w:pPr>
      <w:r>
        <w:rPr>
          <w:rFonts w:ascii="Arial" w:cs="Arial" w:eastAsia="Arial" w:hAnsi="Arial"/>
          <w:b/>
          <w:bCs/>
          <w:color w:val="1B3A6B"/>
          <w:sz w:val="30"/>
          <w:szCs w:val="30"/>
        </w:rPr>
        <w:t xml:space="preserve">13. Credit Strategy</w:t>
      </w:r>
    </w:p>
    <w:p>
      <w:pPr>
        <w:pStyle w:val="Heading2"/>
        <w:spacing w:after="100" w:before="240"/>
      </w:pPr>
      <w:r>
        <w:rPr>
          <w:rFonts w:ascii="Arial" w:cs="Arial" w:eastAsia="Arial" w:hAnsi="Arial"/>
          <w:b/>
          <w:bCs/>
          <w:color w:val="2E5FA3"/>
          <w:sz w:val="26"/>
          <w:szCs w:val="26"/>
        </w:rPr>
        <w:t xml:space="preserve">13.1 Strategic Credit Objectives</w:t>
      </w:r>
    </w:p>
    <w:p>
      <w:pPr>
        <w:spacing w:after="80" w:before="80"/>
        <w:jc w:val="both"/>
      </w:pPr>
      <w:r>
        <w:rPr>
          <w:rFonts w:ascii="Arial" w:cs="Arial" w:eastAsia="Arial" w:hAnsi="Arial"/>
          <w:sz w:val="22"/>
          <w:szCs w:val="22"/>
        </w:rPr>
        <w:t xml:space="preserve">The credit strategy document, approved by the Board and reviewed annually, defines the institution's specific objectives for the real estate lending segment. For Berlin operations, the credit strategy addresses:</w:t>
      </w:r>
    </w:p>
    <w:p>
      <w:pPr>
        <w:pStyle w:val="ListParagraph"/>
        <w:numPr>
          <w:ilvl w:val="0"/>
          <w:numId w:val="2"/>
        </w:numPr>
        <w:spacing w:after="40" w:before="40"/>
      </w:pPr>
      <w:r>
        <w:rPr>
          <w:rFonts w:ascii="Arial" w:cs="Arial" w:eastAsia="Arial" w:hAnsi="Arial"/>
          <w:sz w:val="22"/>
          <w:szCs w:val="22"/>
        </w:rPr>
        <w:t xml:space="preserve">Target portfolio size and growth rate (defined in terms of EAD — Exposure at Default)</w:t>
      </w:r>
    </w:p>
    <w:p>
      <w:pPr>
        <w:pStyle w:val="ListParagraph"/>
        <w:numPr>
          <w:ilvl w:val="0"/>
          <w:numId w:val="2"/>
        </w:numPr>
        <w:spacing w:after="40" w:before="40"/>
      </w:pPr>
      <w:r>
        <w:rPr>
          <w:rFonts w:ascii="Arial" w:cs="Arial" w:eastAsia="Arial" w:hAnsi="Arial"/>
          <w:sz w:val="22"/>
          <w:szCs w:val="22"/>
        </w:rPr>
        <w:t xml:space="preserve">Target product mix: proportion of owner-occupied vs. investment vs. development finance</w:t>
      </w:r>
    </w:p>
    <w:p>
      <w:pPr>
        <w:pStyle w:val="ListParagraph"/>
        <w:numPr>
          <w:ilvl w:val="0"/>
          <w:numId w:val="2"/>
        </w:numPr>
        <w:spacing w:after="40" w:before="40"/>
      </w:pPr>
      <w:r>
        <w:rPr>
          <w:rFonts w:ascii="Arial" w:cs="Arial" w:eastAsia="Arial" w:hAnsi="Arial"/>
          <w:sz w:val="22"/>
          <w:szCs w:val="22"/>
        </w:rPr>
        <w:t xml:space="preserve">Pricing strategy: minimum risk-adjusted return on equity (RAROC) thresholds per risk bucket</w:t>
      </w:r>
    </w:p>
    <w:p>
      <w:pPr>
        <w:pStyle w:val="ListParagraph"/>
        <w:numPr>
          <w:ilvl w:val="0"/>
          <w:numId w:val="2"/>
        </w:numPr>
        <w:spacing w:after="40" w:before="40"/>
      </w:pPr>
      <w:r>
        <w:rPr>
          <w:rFonts w:ascii="Arial" w:cs="Arial" w:eastAsia="Arial" w:hAnsi="Arial"/>
          <w:sz w:val="22"/>
          <w:szCs w:val="22"/>
        </w:rPr>
        <w:t xml:space="preserve">Customer acquisition: referral network (estate agents, notaries), digital origination, branch-based advisory</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13.2 Underwriting Standards as Credit Strategy Tools</w:t>
      </w:r>
    </w:p>
    <w:p>
      <w:pPr>
        <w:spacing w:after="80" w:before="80"/>
        <w:jc w:val="both"/>
      </w:pPr>
      <w:r>
        <w:rPr>
          <w:rFonts w:ascii="Arial" w:cs="Arial" w:eastAsia="Arial" w:hAnsi="Arial"/>
          <w:sz w:val="22"/>
          <w:szCs w:val="22"/>
        </w:rPr>
        <w:t xml:space="preserve">Credit strategy is implemented through the calibration of underwriting standards. Tightening or relaxing LTV, DSC, or minimum score thresholds allows the institution to adjust portfolio risk without requiring individual case exceptions. Any material changes to underwriting standards require Board credit committee approval and must be reflected in the MaRisk-compliant risk strategy documentation.</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13.3 Pricing &amp; Risk-Adjusted Profitability</w:t>
      </w:r>
    </w:p>
    <w:p>
      <w:pPr>
        <w:spacing w:after="80" w:before="80"/>
        <w:jc w:val="both"/>
      </w:pPr>
      <w:r>
        <w:rPr>
          <w:rFonts w:ascii="Arial" w:cs="Arial" w:eastAsia="Arial" w:hAnsi="Arial"/>
          <w:sz w:val="22"/>
          <w:szCs w:val="22"/>
        </w:rPr>
        <w:t xml:space="preserve">All real estate loans are priced using a risk-based pricing model that incorporates:</w:t>
      </w:r>
    </w:p>
    <w:p>
      <w:pPr>
        <w:pStyle w:val="ListParagraph"/>
        <w:numPr>
          <w:ilvl w:val="0"/>
          <w:numId w:val="2"/>
        </w:numPr>
        <w:spacing w:after="40" w:before="40"/>
      </w:pPr>
      <w:r>
        <w:rPr>
          <w:rFonts w:ascii="Arial" w:cs="Arial" w:eastAsia="Arial" w:hAnsi="Arial"/>
          <w:sz w:val="22"/>
          <w:szCs w:val="22"/>
        </w:rPr>
        <w:t xml:space="preserve">Cost of funds (Refinanzierungskosten)</w:t>
      </w:r>
    </w:p>
    <w:p>
      <w:pPr>
        <w:pStyle w:val="ListParagraph"/>
        <w:numPr>
          <w:ilvl w:val="0"/>
          <w:numId w:val="2"/>
        </w:numPr>
        <w:spacing w:after="40" w:before="40"/>
      </w:pPr>
      <w:r>
        <w:rPr>
          <w:rFonts w:ascii="Arial" w:cs="Arial" w:eastAsia="Arial" w:hAnsi="Arial"/>
          <w:sz w:val="22"/>
          <w:szCs w:val="22"/>
        </w:rPr>
        <w:t xml:space="preserve">Expected loss provision charge (EL-based standard risk cost)</w:t>
      </w:r>
    </w:p>
    <w:p>
      <w:pPr>
        <w:pStyle w:val="ListParagraph"/>
        <w:numPr>
          <w:ilvl w:val="0"/>
          <w:numId w:val="2"/>
        </w:numPr>
        <w:spacing w:after="40" w:before="40"/>
      </w:pPr>
      <w:r>
        <w:rPr>
          <w:rFonts w:ascii="Arial" w:cs="Arial" w:eastAsia="Arial" w:hAnsi="Arial"/>
          <w:sz w:val="22"/>
          <w:szCs w:val="22"/>
        </w:rPr>
        <w:t xml:space="preserve">Regulatory capital cost (allocated at 12% CET1 hurdle rate minimum)</w:t>
      </w:r>
    </w:p>
    <w:p>
      <w:pPr>
        <w:pStyle w:val="ListParagraph"/>
        <w:numPr>
          <w:ilvl w:val="0"/>
          <w:numId w:val="2"/>
        </w:numPr>
        <w:spacing w:after="40" w:before="40"/>
      </w:pPr>
      <w:r>
        <w:rPr>
          <w:rFonts w:ascii="Arial" w:cs="Arial" w:eastAsia="Arial" w:hAnsi="Arial"/>
          <w:sz w:val="22"/>
          <w:szCs w:val="22"/>
        </w:rPr>
        <w:t xml:space="preserve">Operating cost allocation</w:t>
      </w:r>
    </w:p>
    <w:p>
      <w:pPr>
        <w:pStyle w:val="ListParagraph"/>
        <w:numPr>
          <w:ilvl w:val="0"/>
          <w:numId w:val="2"/>
        </w:numPr>
        <w:spacing w:after="40" w:before="40"/>
      </w:pPr>
      <w:r>
        <w:rPr>
          <w:rFonts w:ascii="Arial" w:cs="Arial" w:eastAsia="Arial" w:hAnsi="Arial"/>
          <w:sz w:val="22"/>
          <w:szCs w:val="22"/>
        </w:rPr>
        <w:t xml:space="preserve">Target profit margin</w:t>
      </w:r>
    </w:p>
    <w:p>
      <w:pPr>
        <w:spacing w:after="80" w:before="80"/>
        <w:jc w:val="both"/>
      </w:pPr>
      <w:r>
        <w:rPr>
          <w:rFonts w:ascii="Arial" w:cs="Arial" w:eastAsia="Arial" w:hAnsi="Arial"/>
          <w:sz w:val="22"/>
          <w:szCs w:val="22"/>
        </w:rPr>
        <w:t xml:space="preserve">Transactions that do not meet minimum RAROC thresholds require a documented exceptions process with Credit Committee sign-off, based on strategic rationale (e.g., cross-selling, anchor customer relationship).</w:t>
      </w:r>
    </w:p>
    <w:p>
      <w:pPr>
        <w:spacing w:after="60" w:before="60"/>
      </w:pPr>
      <w:r>
        <w:t xml:space="preserve"/>
      </w:r>
    </w:p>
    <w:p>
      <w:pPr>
        <w:pStyle w:val="Heading1"/>
        <w:pBdr>
          <w:bottom w:val="single" w:color="2E5FA3" w:sz="8" w:space="4"/>
        </w:pBdr>
        <w:spacing w:after="120" w:before="360"/>
      </w:pPr>
      <w:r>
        <w:rPr>
          <w:rFonts w:ascii="Arial" w:cs="Arial" w:eastAsia="Arial" w:hAnsi="Arial"/>
          <w:b/>
          <w:bCs/>
          <w:color w:val="1B3A6B"/>
          <w:sz w:val="30"/>
          <w:szCs w:val="30"/>
        </w:rPr>
        <w:t xml:space="preserve">14. Organizational Guidelines (Organisationsrichtlinien)</w:t>
      </w:r>
    </w:p>
    <w:p>
      <w:pPr>
        <w:pStyle w:val="Heading2"/>
        <w:spacing w:after="100" w:before="240"/>
      </w:pPr>
      <w:r>
        <w:rPr>
          <w:rFonts w:ascii="Arial" w:cs="Arial" w:eastAsia="Arial" w:hAnsi="Arial"/>
          <w:b/>
          <w:bCs/>
          <w:color w:val="2E5FA3"/>
          <w:sz w:val="26"/>
          <w:szCs w:val="26"/>
        </w:rPr>
        <w:t xml:space="preserve">14.1 Segregation of Duties</w:t>
      </w:r>
    </w:p>
    <w:p>
      <w:pPr>
        <w:spacing w:after="80" w:before="80"/>
        <w:jc w:val="both"/>
      </w:pPr>
      <w:r>
        <w:rPr>
          <w:rFonts w:ascii="Arial" w:cs="Arial" w:eastAsia="Arial" w:hAnsi="Arial"/>
          <w:sz w:val="22"/>
          <w:szCs w:val="22"/>
        </w:rPr>
        <w:t xml:space="preserve">MaRisk BTO 1.1 mandates strict organizational separation between the front office (Markt / origination functions) and the back office (Marktfolge / credit analysis and approval functions). This separation must be maintained across all hierarchical levels up to and including the Board level. No individual may exercise authority in both front-office and credit analysis/approval roles.</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14.2 Credit Function Organization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gridSpan w:val="2"/>
            <w:tcBorders>
              <w:top w:val="single" w:color="2E5FA3" w:sz="1"/>
              <w:left w:val="single" w:color="2E5FA3" w:sz="1"/>
              <w:bottom w:val="single" w:color="2E5FA3" w:sz="1"/>
              <w:right w:val="single" w:color="2E5FA3" w:sz="1"/>
            </w:tcBorders>
            <w:shd w:fill="2E5FA3" w:val="clear"/>
            <w:tcMar>
              <w:top w:type="dxa" w:w="100"/>
              <w:left w:type="dxa" w:w="160"/>
              <w:bottom w:type="dxa" w:w="100"/>
              <w:right w:type="dxa" w:w="160"/>
            </w:tcMar>
          </w:tcPr>
          <w:p>
            <w:r>
              <w:rPr>
                <w:rFonts w:ascii="Arial" w:cs="Arial" w:eastAsia="Arial" w:hAnsi="Arial"/>
                <w:b/>
                <w:bCs/>
                <w:color w:val="FFFFFF"/>
                <w:sz w:val="22"/>
                <w:szCs w:val="22"/>
              </w:rPr>
              <w:t xml:space="preserve">Functional Separation Requirements (MaRisk BTO 1.1)</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Front Office (Markt)</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Origination, client advisory, application structuring, pre-screening — no credit approval authority</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Credit Analysis (Marktfolge Analyse)</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Independent financial analysis, risk rating, collateral assessment, credit recommendation</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Credit Decision (Marktfolge Votum)</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Formal credit approval — independent of both front office and analysis where separate</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Credit Administration</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Loan documentation, Grundbuch filings, disbursement administration, covenant monitoring</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Special Credit Management</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Watch list, restructuring, workout — independent of origination</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Internal Audit (Interne Revision)</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Periodic independent review of all credit processes and file completeness</w:t>
            </w:r>
          </w:p>
        </w:tc>
      </w:tr>
    </w:tbl>
    <w:p>
      <w:pPr>
        <w:spacing w:after="60" w:before="60"/>
      </w:pPr>
      <w:r>
        <w:t xml:space="preserve"/>
      </w:r>
    </w:p>
    <w:p>
      <w:pPr>
        <w:pStyle w:val="Heading2"/>
        <w:spacing w:after="100" w:before="240"/>
      </w:pPr>
      <w:r>
        <w:rPr>
          <w:rFonts w:ascii="Arial" w:cs="Arial" w:eastAsia="Arial" w:hAnsi="Arial"/>
          <w:b/>
          <w:bCs/>
          <w:color w:val="2E5FA3"/>
          <w:sz w:val="26"/>
          <w:szCs w:val="26"/>
        </w:rPr>
        <w:t xml:space="preserve">14.3 Process Documentation &amp; Workflow</w:t>
      </w:r>
    </w:p>
    <w:p>
      <w:pPr>
        <w:spacing w:after="80" w:before="80"/>
        <w:jc w:val="both"/>
      </w:pPr>
      <w:r>
        <w:rPr>
          <w:rFonts w:ascii="Arial" w:cs="Arial" w:eastAsia="Arial" w:hAnsi="Arial"/>
          <w:sz w:val="22"/>
          <w:szCs w:val="22"/>
        </w:rPr>
        <w:t xml:space="preserve">All credit processes must be documented in binding internal guidelines (Arbeitsanweisungen) that are:</w:t>
      </w:r>
    </w:p>
    <w:p>
      <w:pPr>
        <w:pStyle w:val="ListParagraph"/>
        <w:numPr>
          <w:ilvl w:val="0"/>
          <w:numId w:val="2"/>
        </w:numPr>
        <w:spacing w:after="40" w:before="40"/>
      </w:pPr>
      <w:r>
        <w:rPr>
          <w:rFonts w:ascii="Arial" w:cs="Arial" w:eastAsia="Arial" w:hAnsi="Arial"/>
          <w:sz w:val="22"/>
          <w:szCs w:val="22"/>
        </w:rPr>
        <w:t xml:space="preserve">Approved by the relevant responsible board member and updated at least annually</w:t>
      </w:r>
    </w:p>
    <w:p>
      <w:pPr>
        <w:pStyle w:val="ListParagraph"/>
        <w:numPr>
          <w:ilvl w:val="0"/>
          <w:numId w:val="2"/>
        </w:numPr>
        <w:spacing w:after="40" w:before="40"/>
      </w:pPr>
      <w:r>
        <w:rPr>
          <w:rFonts w:ascii="Arial" w:cs="Arial" w:eastAsia="Arial" w:hAnsi="Arial"/>
          <w:sz w:val="22"/>
          <w:szCs w:val="22"/>
        </w:rPr>
        <w:t xml:space="preserve">Accessible to all relevant staff via the institution's internal knowledge management system</w:t>
      </w:r>
    </w:p>
    <w:p>
      <w:pPr>
        <w:pStyle w:val="ListParagraph"/>
        <w:numPr>
          <w:ilvl w:val="0"/>
          <w:numId w:val="2"/>
        </w:numPr>
        <w:spacing w:after="40" w:before="40"/>
      </w:pPr>
      <w:r>
        <w:rPr>
          <w:rFonts w:ascii="Arial" w:cs="Arial" w:eastAsia="Arial" w:hAnsi="Arial"/>
          <w:sz w:val="22"/>
          <w:szCs w:val="22"/>
        </w:rPr>
        <w:t xml:space="preserve">Compliant with MaRisk AT 6 documentation requirements</w:t>
      </w:r>
    </w:p>
    <w:p>
      <w:pPr>
        <w:pStyle w:val="ListParagraph"/>
        <w:numPr>
          <w:ilvl w:val="0"/>
          <w:numId w:val="2"/>
        </w:numPr>
        <w:spacing w:after="40" w:before="40"/>
      </w:pPr>
      <w:r>
        <w:rPr>
          <w:rFonts w:ascii="Arial" w:cs="Arial" w:eastAsia="Arial" w:hAnsi="Arial"/>
          <w:sz w:val="22"/>
          <w:szCs w:val="22"/>
        </w:rPr>
        <w:t xml:space="preserve">Subject to version control with audit trail of changes</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14.4 Outsourcing Governance</w:t>
      </w:r>
    </w:p>
    <w:p>
      <w:pPr>
        <w:spacing w:after="80" w:before="80"/>
        <w:jc w:val="both"/>
      </w:pPr>
      <w:r>
        <w:rPr>
          <w:rFonts w:ascii="Arial" w:cs="Arial" w:eastAsia="Arial" w:hAnsi="Arial"/>
          <w:sz w:val="22"/>
          <w:szCs w:val="22"/>
        </w:rPr>
        <w:t xml:space="preserve">Where any credit function is outsourced (e.g., valuation services, SCHUFA inquiry processing, loan administration), the outsourcing must comply with MaRisk AT 9 and EBA Outsourcing Guidelines. Minimum requirements include a formal outsourcing agreement, risk assessment, ongoing monitoring, and exit strategy documentation.</w:t>
      </w:r>
    </w:p>
    <w:p>
      <w:pPr>
        <w:spacing w:after="60" w:before="60"/>
      </w:pPr>
      <w:r>
        <w:t xml:space="preserve"/>
      </w:r>
    </w:p>
    <w:p>
      <w:pPr>
        <w:pStyle w:val="Heading1"/>
        <w:pBdr>
          <w:bottom w:val="single" w:color="2E5FA3" w:sz="8" w:space="4"/>
        </w:pBdr>
        <w:spacing w:after="120" w:before="360"/>
      </w:pPr>
      <w:r>
        <w:rPr>
          <w:rFonts w:ascii="Arial" w:cs="Arial" w:eastAsia="Arial" w:hAnsi="Arial"/>
          <w:b/>
          <w:bCs/>
          <w:color w:val="1B3A6B"/>
          <w:sz w:val="30"/>
          <w:szCs w:val="30"/>
        </w:rPr>
        <w:t xml:space="preserve">15. Employee Qualification Requirements</w:t>
      </w:r>
    </w:p>
    <w:p>
      <w:pPr>
        <w:pStyle w:val="Heading2"/>
        <w:spacing w:after="100" w:before="240"/>
      </w:pPr>
      <w:r>
        <w:rPr>
          <w:rFonts w:ascii="Arial" w:cs="Arial" w:eastAsia="Arial" w:hAnsi="Arial"/>
          <w:b/>
          <w:bCs/>
          <w:color w:val="2E5FA3"/>
          <w:sz w:val="26"/>
          <w:szCs w:val="26"/>
        </w:rPr>
        <w:t xml:space="preserve">15.1 Regulatory Qualification Standards</w:t>
      </w:r>
    </w:p>
    <w:p>
      <w:pPr>
        <w:spacing w:after="80" w:before="80"/>
        <w:jc w:val="both"/>
      </w:pPr>
      <w:r>
        <w:rPr>
          <w:rFonts w:ascii="Arial" w:cs="Arial" w:eastAsia="Arial" w:hAnsi="Arial"/>
          <w:sz w:val="22"/>
          <w:szCs w:val="22"/>
        </w:rPr>
        <w:t xml:space="preserve">Staff involved in mortgage credit advising, underwriting, or decision-making are subject to qualification requirements under:</w:t>
      </w:r>
    </w:p>
    <w:p>
      <w:pPr>
        <w:pStyle w:val="ListParagraph"/>
        <w:numPr>
          <w:ilvl w:val="0"/>
          <w:numId w:val="2"/>
        </w:numPr>
        <w:spacing w:after="40" w:before="40"/>
      </w:pPr>
      <w:r>
        <w:rPr>
          <w:rFonts w:ascii="Arial" w:cs="Arial" w:eastAsia="Arial" w:hAnsi="Arial"/>
          <w:sz w:val="22"/>
          <w:szCs w:val="22"/>
        </w:rPr>
        <w:t xml:space="preserve">EU Mortgage Credit Directive (MCD) Art. 9 — minimum knowledge and competence standards for credit intermediaries and staff</w:t>
      </w:r>
    </w:p>
    <w:p>
      <w:pPr>
        <w:pStyle w:val="ListParagraph"/>
        <w:numPr>
          <w:ilvl w:val="0"/>
          <w:numId w:val="2"/>
        </w:numPr>
        <w:spacing w:after="40" w:before="40"/>
      </w:pPr>
      <w:r>
        <w:rPr>
          <w:rFonts w:ascii="Arial" w:cs="Arial" w:eastAsia="Arial" w:hAnsi="Arial"/>
          <w:sz w:val="22"/>
          <w:szCs w:val="22"/>
        </w:rPr>
        <w:t xml:space="preserve">§ 34i GewO — licensing requirement for mortgage intermediaries (Immobiliardarlehensvermittler)</w:t>
      </w:r>
    </w:p>
    <w:p>
      <w:pPr>
        <w:pStyle w:val="ListParagraph"/>
        <w:numPr>
          <w:ilvl w:val="0"/>
          <w:numId w:val="2"/>
        </w:numPr>
        <w:spacing w:after="40" w:before="40"/>
      </w:pPr>
      <w:r>
        <w:rPr>
          <w:rFonts w:ascii="Arial" w:cs="Arial" w:eastAsia="Arial" w:hAnsi="Arial"/>
          <w:sz w:val="22"/>
          <w:szCs w:val="22"/>
        </w:rPr>
        <w:t xml:space="preserve">MaRisk AT 7.1 — general fitness and proper qualification for credit staff</w:t>
      </w:r>
    </w:p>
    <w:p>
      <w:pPr>
        <w:pStyle w:val="ListParagraph"/>
        <w:numPr>
          <w:ilvl w:val="0"/>
          <w:numId w:val="2"/>
        </w:numPr>
        <w:spacing w:after="40" w:before="40"/>
      </w:pPr>
      <w:r>
        <w:rPr>
          <w:rFonts w:ascii="Arial" w:cs="Arial" w:eastAsia="Arial" w:hAnsi="Arial"/>
          <w:sz w:val="22"/>
          <w:szCs w:val="22"/>
        </w:rPr>
        <w:t xml:space="preserve">EBA Guidelines on Internal Governance — specific competence requirements for risk function staff</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15.2 Required Competency Areas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gridSpan w:val="2"/>
            <w:tcBorders>
              <w:top w:val="single" w:color="2E5FA3" w:sz="1"/>
              <w:left w:val="single" w:color="2E5FA3" w:sz="1"/>
              <w:bottom w:val="single" w:color="2E5FA3" w:sz="1"/>
              <w:right w:val="single" w:color="2E5FA3" w:sz="1"/>
            </w:tcBorders>
            <w:shd w:fill="2E5FA3" w:val="clear"/>
            <w:tcMar>
              <w:top w:type="dxa" w:w="100"/>
              <w:left w:type="dxa" w:w="160"/>
              <w:bottom w:type="dxa" w:w="100"/>
              <w:right w:type="dxa" w:w="160"/>
            </w:tcMar>
          </w:tcPr>
          <w:p>
            <w:r>
              <w:rPr>
                <w:rFonts w:ascii="Arial" w:cs="Arial" w:eastAsia="Arial" w:hAnsi="Arial"/>
                <w:b/>
                <w:bCs/>
                <w:color w:val="FFFFFF"/>
                <w:sz w:val="22"/>
                <w:szCs w:val="22"/>
              </w:rPr>
              <w:t xml:space="preserve">Core Competency Framework for Real Estate Credit Staff</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Legal Knowledge</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BGB loan provisions (§§ 488–490, 504–505b), KWG, MaRisk, PfandBG, Grundbuchrecht, WEG, Erbbaurecht</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Financial Analysis</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Income statement analysis, cash flow modelling, DSC calculation, DSCR computation, financial ratio analysis</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Property Valuation</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ImmoWertV methodology, market value vs. lending value distinction, Berlin district market knowledge</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Credit Risk</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Credit risk assessment frameworks, risk rating, EL/UL concepts, portfolio risk management</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Regulatory Framework</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CRR/CRD, Basel framework, EBA guidelines, BaFin circulars, DSGVO/GDPR, GwG (AML)</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ESG &amp; Sustainability</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EU Taxonomy, SFDR, energy performance standards, climate risk in collateral assessment</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Digital Competence</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Credit systems operation, automated underwriting tool interpretation, data analytics</w:t>
            </w:r>
          </w:p>
        </w:tc>
      </w:tr>
    </w:tbl>
    <w:p>
      <w:pPr>
        <w:spacing w:after="60" w:before="60"/>
      </w:pPr>
      <w:r>
        <w:t xml:space="preserve"/>
      </w:r>
    </w:p>
    <w:p>
      <w:pPr>
        <w:pStyle w:val="Heading2"/>
        <w:spacing w:after="100" w:before="240"/>
      </w:pPr>
      <w:r>
        <w:rPr>
          <w:rFonts w:ascii="Arial" w:cs="Arial" w:eastAsia="Arial" w:hAnsi="Arial"/>
          <w:b/>
          <w:bCs/>
          <w:color w:val="2E5FA3"/>
          <w:sz w:val="26"/>
          <w:szCs w:val="26"/>
        </w:rPr>
        <w:t xml:space="preserve">15.3 Continuing Professional Development</w:t>
      </w:r>
    </w:p>
    <w:p>
      <w:pPr>
        <w:spacing w:after="80" w:before="80"/>
        <w:jc w:val="both"/>
      </w:pPr>
      <w:r>
        <w:rPr>
          <w:rFonts w:ascii="Arial" w:cs="Arial" w:eastAsia="Arial" w:hAnsi="Arial"/>
          <w:sz w:val="22"/>
          <w:szCs w:val="22"/>
        </w:rPr>
        <w:t xml:space="preserve">All credit staff are required to complete a minimum of 20 hours of continuing professional development (CPD) per year, with documentation maintained in individual training files. CPD must cover regulatory updates, market developments, and role-specific technical skills. The institution maintains a structured annual training plan (Fortbildungsplan) reviewed by Compliance and HR.</w:t>
      </w:r>
    </w:p>
    <w:p>
      <w:pPr>
        <w:spacing w:after="60" w:before="60"/>
      </w:pPr>
      <w:r>
        <w:t xml:space="preserve"/>
      </w:r>
    </w:p>
    <w:p>
      <w:pPr>
        <w:pStyle w:val="Heading1"/>
        <w:pBdr>
          <w:bottom w:val="single" w:color="2E5FA3" w:sz="8" w:space="4"/>
        </w:pBdr>
        <w:spacing w:after="120" w:before="360"/>
      </w:pPr>
      <w:r>
        <w:rPr>
          <w:rFonts w:ascii="Arial" w:cs="Arial" w:eastAsia="Arial" w:hAnsi="Arial"/>
          <w:b/>
          <w:bCs/>
          <w:color w:val="1B3A6B"/>
          <w:sz w:val="30"/>
          <w:szCs w:val="30"/>
        </w:rPr>
        <w:t xml:space="preserve">16. Lending Transactions — Execution &amp; Administration</w:t>
      </w:r>
    </w:p>
    <w:p>
      <w:pPr>
        <w:pStyle w:val="Heading2"/>
        <w:spacing w:after="100" w:before="240"/>
      </w:pPr>
      <w:r>
        <w:rPr>
          <w:rFonts w:ascii="Arial" w:cs="Arial" w:eastAsia="Arial" w:hAnsi="Arial"/>
          <w:b/>
          <w:bCs/>
          <w:color w:val="2E5FA3"/>
          <w:sz w:val="26"/>
          <w:szCs w:val="26"/>
        </w:rPr>
        <w:t xml:space="preserve">16.1 Loan Contract Execution</w:t>
      </w:r>
    </w:p>
    <w:p>
      <w:pPr>
        <w:spacing w:after="80" w:before="80"/>
        <w:jc w:val="both"/>
      </w:pPr>
      <w:r>
        <w:rPr>
          <w:rFonts w:ascii="Arial" w:cs="Arial" w:eastAsia="Arial" w:hAnsi="Arial"/>
          <w:sz w:val="22"/>
          <w:szCs w:val="22"/>
        </w:rPr>
        <w:t xml:space="preserve">Upon satisfaction of all conditions precedent and receipt of the signed Loan Agreement (Darlehensvertrag), the following administrative steps are executed:</w:t>
      </w:r>
    </w:p>
    <w:p>
      <w:pPr>
        <w:pStyle w:val="ListParagraph"/>
        <w:numPr>
          <w:ilvl w:val="0"/>
          <w:numId w:val="2"/>
        </w:numPr>
        <w:spacing w:after="40" w:before="40"/>
      </w:pPr>
      <w:r>
        <w:rPr>
          <w:rFonts w:ascii="Arial" w:cs="Arial" w:eastAsia="Arial" w:hAnsi="Arial"/>
          <w:sz w:val="22"/>
          <w:szCs w:val="22"/>
        </w:rPr>
        <w:t xml:space="preserve">Confirmation of Grundschuld registration (Grundschuldbestellungsurkunde notarially certified and submitted to Grundbuchamt)</w:t>
      </w:r>
    </w:p>
    <w:p>
      <w:pPr>
        <w:pStyle w:val="ListParagraph"/>
        <w:numPr>
          <w:ilvl w:val="0"/>
          <w:numId w:val="2"/>
        </w:numPr>
        <w:spacing w:after="40" w:before="40"/>
      </w:pPr>
      <w:r>
        <w:rPr>
          <w:rFonts w:ascii="Arial" w:cs="Arial" w:eastAsia="Arial" w:hAnsi="Arial"/>
          <w:sz w:val="22"/>
          <w:szCs w:val="22"/>
        </w:rPr>
        <w:t xml:space="preserve">Receipt and filing of all insurance certificates with loss payee endorsement in favour of the bank</w:t>
      </w:r>
    </w:p>
    <w:p>
      <w:pPr>
        <w:pStyle w:val="ListParagraph"/>
        <w:numPr>
          <w:ilvl w:val="0"/>
          <w:numId w:val="2"/>
        </w:numPr>
        <w:spacing w:after="40" w:before="40"/>
      </w:pPr>
      <w:r>
        <w:rPr>
          <w:rFonts w:ascii="Arial" w:cs="Arial" w:eastAsia="Arial" w:hAnsi="Arial"/>
          <w:sz w:val="22"/>
          <w:szCs w:val="22"/>
        </w:rPr>
        <w:t xml:space="preserve">Anti-money laundering (GwG §§ 10-17) documentation complete — beneficial ownership (wirtschaftlich Berechtigte) identified</w:t>
      </w:r>
    </w:p>
    <w:p>
      <w:pPr>
        <w:pStyle w:val="ListParagraph"/>
        <w:numPr>
          <w:ilvl w:val="0"/>
          <w:numId w:val="2"/>
        </w:numPr>
        <w:spacing w:after="40" w:before="40"/>
      </w:pPr>
      <w:r>
        <w:rPr>
          <w:rFonts w:ascii="Arial" w:cs="Arial" w:eastAsia="Arial" w:hAnsi="Arial"/>
          <w:sz w:val="22"/>
          <w:szCs w:val="22"/>
        </w:rPr>
        <w:t xml:space="preserve">Account opening and loan system setup (internal booking number assigned)</w:t>
      </w:r>
    </w:p>
    <w:p>
      <w:pPr>
        <w:pStyle w:val="ListParagraph"/>
        <w:numPr>
          <w:ilvl w:val="0"/>
          <w:numId w:val="2"/>
        </w:numPr>
        <w:spacing w:after="40" w:before="40"/>
      </w:pPr>
      <w:r>
        <w:rPr>
          <w:rFonts w:ascii="Arial" w:cs="Arial" w:eastAsia="Arial" w:hAnsi="Arial"/>
          <w:sz w:val="22"/>
          <w:szCs w:val="22"/>
        </w:rPr>
        <w:t xml:space="preserve">First disbursement authorisation issued following four-eyes sign-off</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16.2 Disbursement Process</w:t>
      </w:r>
    </w:p>
    <w:p>
      <w:pPr>
        <w:spacing w:after="80" w:before="80"/>
        <w:jc w:val="both"/>
      </w:pPr>
      <w:r>
        <w:rPr>
          <w:rFonts w:ascii="Arial" w:cs="Arial" w:eastAsia="Arial" w:hAnsi="Arial"/>
          <w:sz w:val="22"/>
          <w:szCs w:val="22"/>
        </w:rPr>
        <w:t xml:space="preserve">Disbursements are executed by the Credit Administration team independently of the origination team. For each disbursement:</w:t>
      </w:r>
    </w:p>
    <w:p>
      <w:pPr>
        <w:pStyle w:val="ListParagraph"/>
        <w:numPr>
          <w:ilvl w:val="0"/>
          <w:numId w:val="2"/>
        </w:numPr>
        <w:spacing w:after="40" w:before="40"/>
      </w:pPr>
      <w:r>
        <w:rPr>
          <w:rFonts w:ascii="Arial" w:cs="Arial" w:eastAsia="Arial" w:hAnsi="Arial"/>
          <w:sz w:val="22"/>
          <w:szCs w:val="22"/>
        </w:rPr>
        <w:t xml:space="preserve">Disbursement request reviewed against approved conditions and drawdown schedule</w:t>
      </w:r>
    </w:p>
    <w:p>
      <w:pPr>
        <w:pStyle w:val="ListParagraph"/>
        <w:numPr>
          <w:ilvl w:val="0"/>
          <w:numId w:val="2"/>
        </w:numPr>
        <w:spacing w:after="40" w:before="40"/>
      </w:pPr>
      <w:r>
        <w:rPr>
          <w:rFonts w:ascii="Arial" w:cs="Arial" w:eastAsia="Arial" w:hAnsi="Arial"/>
          <w:sz w:val="22"/>
          <w:szCs w:val="22"/>
        </w:rPr>
        <w:t xml:space="preserve">Bank-to-bank wire transfer exclusively used — no cash disbursements permitted under GwG §6</w:t>
      </w:r>
    </w:p>
    <w:p>
      <w:pPr>
        <w:pStyle w:val="ListParagraph"/>
        <w:numPr>
          <w:ilvl w:val="0"/>
          <w:numId w:val="2"/>
        </w:numPr>
        <w:spacing w:after="40" w:before="40"/>
      </w:pPr>
      <w:r>
        <w:rPr>
          <w:rFonts w:ascii="Arial" w:cs="Arial" w:eastAsia="Arial" w:hAnsi="Arial"/>
          <w:sz w:val="22"/>
          <w:szCs w:val="22"/>
        </w:rPr>
        <w:t xml:space="preserve">For purchase transactions: payment to notary escrow (Notaranderkonto) is the standard mechanism, protecting both buyer and lender until Grundbuch transfer is complete</w:t>
      </w:r>
    </w:p>
    <w:p>
      <w:pPr>
        <w:pStyle w:val="ListParagraph"/>
        <w:numPr>
          <w:ilvl w:val="0"/>
          <w:numId w:val="2"/>
        </w:numPr>
        <w:spacing w:after="40" w:before="40"/>
      </w:pPr>
      <w:r>
        <w:rPr>
          <w:rFonts w:ascii="Arial" w:cs="Arial" w:eastAsia="Arial" w:hAnsi="Arial"/>
          <w:sz w:val="22"/>
          <w:szCs w:val="22"/>
        </w:rPr>
        <w:t xml:space="preserve">Disbursement confirmation letter sent to borrower within 1 business day</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16.3 Ongoing Loan Administration</w:t>
      </w:r>
    </w:p>
    <w:p>
      <w:pPr>
        <w:spacing w:after="80" w:before="80"/>
        <w:jc w:val="both"/>
      </w:pPr>
      <w:r>
        <w:rPr>
          <w:rFonts w:ascii="Arial" w:cs="Arial" w:eastAsia="Arial" w:hAnsi="Arial"/>
          <w:sz w:val="22"/>
          <w:szCs w:val="22"/>
        </w:rPr>
        <w:t xml:space="preserve">The loan portfolio is administered through the institution's core banking system with:</w:t>
      </w:r>
    </w:p>
    <w:p>
      <w:pPr>
        <w:pStyle w:val="ListParagraph"/>
        <w:numPr>
          <w:ilvl w:val="0"/>
          <w:numId w:val="2"/>
        </w:numPr>
        <w:spacing w:after="40" w:before="40"/>
      </w:pPr>
      <w:r>
        <w:rPr>
          <w:rFonts w:ascii="Arial" w:cs="Arial" w:eastAsia="Arial" w:hAnsi="Arial"/>
          <w:sz w:val="22"/>
          <w:szCs w:val="22"/>
        </w:rPr>
        <w:t xml:space="preserve">Automated direct debit (Lastschriftmandat) for monthly instalment collection</w:t>
      </w:r>
    </w:p>
    <w:p>
      <w:pPr>
        <w:pStyle w:val="ListParagraph"/>
        <w:numPr>
          <w:ilvl w:val="0"/>
          <w:numId w:val="2"/>
        </w:numPr>
        <w:spacing w:after="40" w:before="40"/>
      </w:pPr>
      <w:r>
        <w:rPr>
          <w:rFonts w:ascii="Arial" w:cs="Arial" w:eastAsia="Arial" w:hAnsi="Arial"/>
          <w:sz w:val="22"/>
          <w:szCs w:val="22"/>
        </w:rPr>
        <w:t xml:space="preserve">Monthly generation and dispatch of account statements (Kontoauszüge)</w:t>
      </w:r>
    </w:p>
    <w:p>
      <w:pPr>
        <w:pStyle w:val="ListParagraph"/>
        <w:numPr>
          <w:ilvl w:val="0"/>
          <w:numId w:val="2"/>
        </w:numPr>
        <w:spacing w:after="40" w:before="40"/>
      </w:pPr>
      <w:r>
        <w:rPr>
          <w:rFonts w:ascii="Arial" w:cs="Arial" w:eastAsia="Arial" w:hAnsi="Arial"/>
          <w:sz w:val="22"/>
          <w:szCs w:val="22"/>
        </w:rPr>
        <w:t xml:space="preserve">Annual interest certificates (Zinsbescheinigungen) for tax purposes</w:t>
      </w:r>
    </w:p>
    <w:p>
      <w:pPr>
        <w:pStyle w:val="ListParagraph"/>
        <w:numPr>
          <w:ilvl w:val="0"/>
          <w:numId w:val="2"/>
        </w:numPr>
        <w:spacing w:after="40" w:before="40"/>
      </w:pPr>
      <w:r>
        <w:rPr>
          <w:rFonts w:ascii="Arial" w:cs="Arial" w:eastAsia="Arial" w:hAnsi="Arial"/>
          <w:sz w:val="22"/>
          <w:szCs w:val="22"/>
        </w:rPr>
        <w:t xml:space="preserve">Covenant compliance monitoring and documentation</w:t>
      </w:r>
    </w:p>
    <w:p>
      <w:pPr>
        <w:pStyle w:val="ListParagraph"/>
        <w:numPr>
          <w:ilvl w:val="0"/>
          <w:numId w:val="2"/>
        </w:numPr>
        <w:spacing w:after="40" w:before="40"/>
      </w:pPr>
      <w:r>
        <w:rPr>
          <w:rFonts w:ascii="Arial" w:cs="Arial" w:eastAsia="Arial" w:hAnsi="Arial"/>
          <w:sz w:val="22"/>
          <w:szCs w:val="22"/>
        </w:rPr>
        <w:t xml:space="preserve">Interest rate refixing management for approaching end of fixed-rate periods</w:t>
      </w:r>
    </w:p>
    <w:p>
      <w:pPr>
        <w:spacing w:after="60" w:before="60"/>
      </w:pPr>
      <w:r>
        <w:t xml:space="preserve"/>
      </w:r>
    </w:p>
    <w:p>
      <w:pPr>
        <w:pStyle w:val="Heading1"/>
        <w:pBdr>
          <w:bottom w:val="single" w:color="2E5FA3" w:sz="8" w:space="4"/>
        </w:pBdr>
        <w:spacing w:after="120" w:before="360"/>
      </w:pPr>
      <w:r>
        <w:rPr>
          <w:rFonts w:ascii="Arial" w:cs="Arial" w:eastAsia="Arial" w:hAnsi="Arial"/>
          <w:b/>
          <w:bCs/>
          <w:color w:val="1B3A6B"/>
          <w:sz w:val="30"/>
          <w:szCs w:val="30"/>
        </w:rPr>
        <w:t xml:space="preserve">17. Requirements for Credit Documentation</w:t>
      </w:r>
    </w:p>
    <w:p>
      <w:pPr>
        <w:pStyle w:val="Heading2"/>
        <w:spacing w:after="100" w:before="240"/>
      </w:pPr>
      <w:r>
        <w:rPr>
          <w:rFonts w:ascii="Arial" w:cs="Arial" w:eastAsia="Arial" w:hAnsi="Arial"/>
          <w:b/>
          <w:bCs/>
          <w:color w:val="2E5FA3"/>
          <w:sz w:val="26"/>
          <w:szCs w:val="26"/>
        </w:rPr>
        <w:t xml:space="preserve">17.1 Statutory Documentation Obligations</w:t>
      </w:r>
    </w:p>
    <w:p>
      <w:pPr>
        <w:spacing w:after="60" w:before="60"/>
      </w:pPr>
      <w:r>
        <w:rPr>
          <w:rFonts w:ascii="Arial" w:cs="Arial" w:eastAsia="Arial" w:hAnsi="Arial"/>
          <w:color w:val="2E5FA3"/>
          <w:sz w:val="22"/>
          <w:szCs w:val="22"/>
        </w:rPr>
        <w:t xml:space="preserve">⚖ </w:t>
      </w:r>
      <w:r>
        <w:rPr>
          <w:rFonts w:ascii="Arial" w:cs="Arial" w:eastAsia="Arial" w:hAnsi="Arial"/>
          <w:i/>
          <w:iCs/>
          <w:color w:val="3A3A3A"/>
          <w:sz w:val="22"/>
          <w:szCs w:val="22"/>
        </w:rPr>
        <w:t xml:space="preserve">§ 18 KWG requires credit institutions to obtain and regularly review the economic circumstances (wirtschaftliche Verhältnisse) of borrowers for loans exceeding €750,000. Documentation must be current, complete, and maintained for a minimum of 10 years after loan termination.</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17.2 Credit File Requirements</w:t>
      </w:r>
    </w:p>
    <w:p>
      <w:pPr>
        <w:spacing w:after="80" w:before="80"/>
        <w:jc w:val="both"/>
      </w:pPr>
      <w:r>
        <w:rPr>
          <w:rFonts w:ascii="Arial" w:cs="Arial" w:eastAsia="Arial" w:hAnsi="Arial"/>
          <w:sz w:val="22"/>
          <w:szCs w:val="22"/>
        </w:rPr>
        <w:t xml:space="preserve">Each credit exposure requires a complete credit file (Kreditakte) maintained in the institution's document management system. The credit file must contain:</w:t>
      </w:r>
    </w:p>
    <w:p>
      <w:pPr>
        <w:pStyle w:val="Heading3"/>
        <w:spacing w:after="80" w:before="180"/>
      </w:pPr>
      <w:r>
        <w:rPr>
          <w:rFonts w:ascii="Arial" w:cs="Arial" w:eastAsia="Arial" w:hAnsi="Arial"/>
          <w:b/>
          <w:bCs/>
          <w:color w:val="2C3E50"/>
          <w:sz w:val="24"/>
          <w:szCs w:val="24"/>
        </w:rPr>
        <w:t xml:space="preserve">17.2.1 Application Documents</w:t>
      </w:r>
    </w:p>
    <w:p>
      <w:pPr>
        <w:pStyle w:val="ListParagraph"/>
        <w:numPr>
          <w:ilvl w:val="0"/>
          <w:numId w:val="2"/>
        </w:numPr>
        <w:spacing w:after="40" w:before="40"/>
      </w:pPr>
      <w:r>
        <w:rPr>
          <w:rFonts w:ascii="Arial" w:cs="Arial" w:eastAsia="Arial" w:hAnsi="Arial"/>
          <w:sz w:val="22"/>
          <w:szCs w:val="22"/>
        </w:rPr>
        <w:t xml:space="preserve">Original or certified copy of signed loan application</w:t>
      </w:r>
    </w:p>
    <w:p>
      <w:pPr>
        <w:pStyle w:val="ListParagraph"/>
        <w:numPr>
          <w:ilvl w:val="0"/>
          <w:numId w:val="2"/>
        </w:numPr>
        <w:spacing w:after="40" w:before="40"/>
      </w:pPr>
      <w:r>
        <w:rPr>
          <w:rFonts w:ascii="Arial" w:cs="Arial" w:eastAsia="Arial" w:hAnsi="Arial"/>
          <w:sz w:val="22"/>
          <w:szCs w:val="22"/>
        </w:rPr>
        <w:t xml:space="preserve">Identity documents (copy of Personalausweis or Reisepass, certified) — retained per GwG requirements</w:t>
      </w:r>
    </w:p>
    <w:p>
      <w:pPr>
        <w:pStyle w:val="ListParagraph"/>
        <w:numPr>
          <w:ilvl w:val="0"/>
          <w:numId w:val="2"/>
        </w:numPr>
        <w:spacing w:after="40" w:before="40"/>
      </w:pPr>
      <w:r>
        <w:rPr>
          <w:rFonts w:ascii="Arial" w:cs="Arial" w:eastAsia="Arial" w:hAnsi="Arial"/>
          <w:sz w:val="22"/>
          <w:szCs w:val="22"/>
        </w:rPr>
        <w:t xml:space="preserve">Income documentation: last 3 salary slips, employment contract, or most recent 3 years' tax assessments and income statements</w:t>
      </w:r>
    </w:p>
    <w:p>
      <w:pPr>
        <w:pStyle w:val="ListParagraph"/>
        <w:numPr>
          <w:ilvl w:val="0"/>
          <w:numId w:val="2"/>
        </w:numPr>
        <w:spacing w:after="40" w:before="40"/>
      </w:pPr>
      <w:r>
        <w:rPr>
          <w:rFonts w:ascii="Arial" w:cs="Arial" w:eastAsia="Arial" w:hAnsi="Arial"/>
          <w:sz w:val="22"/>
          <w:szCs w:val="22"/>
        </w:rPr>
        <w:t xml:space="preserve">List of assets and liabilities (Vermögensstatus) signed and dated by borrower</w:t>
      </w:r>
    </w:p>
    <w:p>
      <w:pPr>
        <w:spacing w:after="60" w:before="60"/>
      </w:pPr>
      <w:r>
        <w:t xml:space="preserve"/>
      </w:r>
    </w:p>
    <w:p>
      <w:pPr>
        <w:pStyle w:val="Heading3"/>
        <w:spacing w:after="80" w:before="180"/>
      </w:pPr>
      <w:r>
        <w:rPr>
          <w:rFonts w:ascii="Arial" w:cs="Arial" w:eastAsia="Arial" w:hAnsi="Arial"/>
          <w:b/>
          <w:bCs/>
          <w:color w:val="2C3E50"/>
          <w:sz w:val="24"/>
          <w:szCs w:val="24"/>
        </w:rPr>
        <w:t xml:space="preserve">17.2.2 Property &amp; Collateral Documents</w:t>
      </w:r>
    </w:p>
    <w:p>
      <w:pPr>
        <w:pStyle w:val="ListParagraph"/>
        <w:numPr>
          <w:ilvl w:val="0"/>
          <w:numId w:val="2"/>
        </w:numPr>
        <w:spacing w:after="40" w:before="40"/>
      </w:pPr>
      <w:r>
        <w:rPr>
          <w:rFonts w:ascii="Arial" w:cs="Arial" w:eastAsia="Arial" w:hAnsi="Arial"/>
          <w:sz w:val="22"/>
          <w:szCs w:val="22"/>
        </w:rPr>
        <w:t xml:space="preserve">Property valuation report (Wertgutachten) compliant with ImmoWertV — signed by qualified appraiser</w:t>
      </w:r>
    </w:p>
    <w:p>
      <w:pPr>
        <w:pStyle w:val="ListParagraph"/>
        <w:numPr>
          <w:ilvl w:val="0"/>
          <w:numId w:val="2"/>
        </w:numPr>
        <w:spacing w:after="40" w:before="40"/>
      </w:pPr>
      <w:r>
        <w:rPr>
          <w:rFonts w:ascii="Arial" w:cs="Arial" w:eastAsia="Arial" w:hAnsi="Arial"/>
          <w:sz w:val="22"/>
          <w:szCs w:val="22"/>
        </w:rPr>
        <w:t xml:space="preserve">Current Grundbuchauszug (not older than 3 months at origination)</w:t>
      </w:r>
    </w:p>
    <w:p>
      <w:pPr>
        <w:pStyle w:val="ListParagraph"/>
        <w:numPr>
          <w:ilvl w:val="0"/>
          <w:numId w:val="2"/>
        </w:numPr>
        <w:spacing w:after="40" w:before="40"/>
      </w:pPr>
      <w:r>
        <w:rPr>
          <w:rFonts w:ascii="Arial" w:cs="Arial" w:eastAsia="Arial" w:hAnsi="Arial"/>
          <w:sz w:val="22"/>
          <w:szCs w:val="22"/>
        </w:rPr>
        <w:t xml:space="preserve">Grundschuldbestellungsurkunde (Grundschuld deed) — notarially certified original</w:t>
      </w:r>
    </w:p>
    <w:p>
      <w:pPr>
        <w:pStyle w:val="ListParagraph"/>
        <w:numPr>
          <w:ilvl w:val="0"/>
          <w:numId w:val="2"/>
        </w:numPr>
        <w:spacing w:after="40" w:before="40"/>
      </w:pPr>
      <w:r>
        <w:rPr>
          <w:rFonts w:ascii="Arial" w:cs="Arial" w:eastAsia="Arial" w:hAnsi="Arial"/>
          <w:sz w:val="22"/>
          <w:szCs w:val="22"/>
        </w:rPr>
        <w:t xml:space="preserve">Notarized purchase contract (for acquisition finance)</w:t>
      </w:r>
    </w:p>
    <w:p>
      <w:pPr>
        <w:pStyle w:val="ListParagraph"/>
        <w:numPr>
          <w:ilvl w:val="0"/>
          <w:numId w:val="2"/>
        </w:numPr>
        <w:spacing w:after="40" w:before="40"/>
      </w:pPr>
      <w:r>
        <w:rPr>
          <w:rFonts w:ascii="Arial" w:cs="Arial" w:eastAsia="Arial" w:hAnsi="Arial"/>
          <w:sz w:val="22"/>
          <w:szCs w:val="22"/>
        </w:rPr>
        <w:t xml:space="preserve">Building permit (Baugenehmigung) and floor plans (for construction/renovation finance)</w:t>
      </w:r>
    </w:p>
    <w:p>
      <w:pPr>
        <w:pStyle w:val="ListParagraph"/>
        <w:numPr>
          <w:ilvl w:val="0"/>
          <w:numId w:val="2"/>
        </w:numPr>
        <w:spacing w:after="40" w:before="40"/>
      </w:pPr>
      <w:r>
        <w:rPr>
          <w:rFonts w:ascii="Arial" w:cs="Arial" w:eastAsia="Arial" w:hAnsi="Arial"/>
          <w:sz w:val="22"/>
          <w:szCs w:val="22"/>
        </w:rPr>
        <w:t xml:space="preserve">Insurance certificates: Gebäudeversicherung, title insurance (where applicable)</w:t>
      </w:r>
    </w:p>
    <w:p>
      <w:pPr>
        <w:spacing w:after="60" w:before="60"/>
      </w:pPr>
      <w:r>
        <w:t xml:space="preserve"/>
      </w:r>
    </w:p>
    <w:p>
      <w:pPr>
        <w:pStyle w:val="Heading3"/>
        <w:spacing w:after="80" w:before="180"/>
      </w:pPr>
      <w:r>
        <w:rPr>
          <w:rFonts w:ascii="Arial" w:cs="Arial" w:eastAsia="Arial" w:hAnsi="Arial"/>
          <w:b/>
          <w:bCs/>
          <w:color w:val="2C3E50"/>
          <w:sz w:val="24"/>
          <w:szCs w:val="24"/>
        </w:rPr>
        <w:t xml:space="preserve">17.2.3 Credit Analysis Documents</w:t>
      </w:r>
    </w:p>
    <w:p>
      <w:pPr>
        <w:pStyle w:val="ListParagraph"/>
        <w:numPr>
          <w:ilvl w:val="0"/>
          <w:numId w:val="2"/>
        </w:numPr>
        <w:spacing w:after="40" w:before="40"/>
      </w:pPr>
      <w:r>
        <w:rPr>
          <w:rFonts w:ascii="Arial" w:cs="Arial" w:eastAsia="Arial" w:hAnsi="Arial"/>
          <w:sz w:val="22"/>
          <w:szCs w:val="22"/>
        </w:rPr>
        <w:t xml:space="preserve">Formal credit application memo (Kreditvorlage) including DSC analysis, LTV calculation, and risk assessment</w:t>
      </w:r>
    </w:p>
    <w:p>
      <w:pPr>
        <w:pStyle w:val="ListParagraph"/>
        <w:numPr>
          <w:ilvl w:val="0"/>
          <w:numId w:val="2"/>
        </w:numPr>
        <w:spacing w:after="40" w:before="40"/>
      </w:pPr>
      <w:r>
        <w:rPr>
          <w:rFonts w:ascii="Arial" w:cs="Arial" w:eastAsia="Arial" w:hAnsi="Arial"/>
          <w:sz w:val="22"/>
          <w:szCs w:val="22"/>
        </w:rPr>
        <w:t xml:space="preserve">SCHUFA and credit bureau inquiry results (archived with timestamp)</w:t>
      </w:r>
    </w:p>
    <w:p>
      <w:pPr>
        <w:pStyle w:val="ListParagraph"/>
        <w:numPr>
          <w:ilvl w:val="0"/>
          <w:numId w:val="2"/>
        </w:numPr>
        <w:spacing w:after="40" w:before="40"/>
      </w:pPr>
      <w:r>
        <w:rPr>
          <w:rFonts w:ascii="Arial" w:cs="Arial" w:eastAsia="Arial" w:hAnsi="Arial"/>
          <w:sz w:val="22"/>
          <w:szCs w:val="22"/>
        </w:rPr>
        <w:t xml:space="preserve">Risk rating determination with methodology documentation</w:t>
      </w:r>
    </w:p>
    <w:p>
      <w:pPr>
        <w:pStyle w:val="ListParagraph"/>
        <w:numPr>
          <w:ilvl w:val="0"/>
          <w:numId w:val="2"/>
        </w:numPr>
        <w:spacing w:after="40" w:before="40"/>
      </w:pPr>
      <w:r>
        <w:rPr>
          <w:rFonts w:ascii="Arial" w:cs="Arial" w:eastAsia="Arial" w:hAnsi="Arial"/>
          <w:sz w:val="22"/>
          <w:szCs w:val="22"/>
        </w:rPr>
        <w:t xml:space="preserve">ICAAP/regulatory capital calculation for the specific exposure</w:t>
      </w:r>
    </w:p>
    <w:p>
      <w:pPr>
        <w:pStyle w:val="ListParagraph"/>
        <w:numPr>
          <w:ilvl w:val="0"/>
          <w:numId w:val="2"/>
        </w:numPr>
        <w:spacing w:after="40" w:before="40"/>
      </w:pPr>
      <w:r>
        <w:rPr>
          <w:rFonts w:ascii="Arial" w:cs="Arial" w:eastAsia="Arial" w:hAnsi="Arial"/>
          <w:sz w:val="22"/>
          <w:szCs w:val="22"/>
        </w:rPr>
        <w:t xml:space="preserve">Credit decision documentation: formal approval/decline with signatures of all authorized decision-makers (four-eyes principle)</w:t>
      </w:r>
    </w:p>
    <w:p>
      <w:pPr>
        <w:pStyle w:val="ListParagraph"/>
        <w:numPr>
          <w:ilvl w:val="0"/>
          <w:numId w:val="2"/>
        </w:numPr>
        <w:spacing w:after="40" w:before="40"/>
      </w:pPr>
      <w:r>
        <w:rPr>
          <w:rFonts w:ascii="Arial" w:cs="Arial" w:eastAsia="Arial" w:hAnsi="Arial"/>
          <w:sz w:val="22"/>
          <w:szCs w:val="22"/>
        </w:rPr>
        <w:t xml:space="preserve">For structured or complex transactions: term sheet, legal opinion, and specialist reports</w:t>
      </w:r>
    </w:p>
    <w:p>
      <w:pPr>
        <w:spacing w:after="60" w:before="60"/>
      </w:pPr>
      <w:r>
        <w:t xml:space="preserve"/>
      </w:r>
    </w:p>
    <w:p>
      <w:pPr>
        <w:pStyle w:val="Heading3"/>
        <w:spacing w:after="80" w:before="180"/>
      </w:pPr>
      <w:r>
        <w:rPr>
          <w:rFonts w:ascii="Arial" w:cs="Arial" w:eastAsia="Arial" w:hAnsi="Arial"/>
          <w:b/>
          <w:bCs/>
          <w:color w:val="2C3E50"/>
          <w:sz w:val="24"/>
          <w:szCs w:val="24"/>
        </w:rPr>
        <w:t xml:space="preserve">17.2.4 Contract &amp; Disbursement Documents</w:t>
      </w:r>
    </w:p>
    <w:p>
      <w:pPr>
        <w:pStyle w:val="ListParagraph"/>
        <w:numPr>
          <w:ilvl w:val="0"/>
          <w:numId w:val="2"/>
        </w:numPr>
        <w:spacing w:after="40" w:before="40"/>
      </w:pPr>
      <w:r>
        <w:rPr>
          <w:rFonts w:ascii="Arial" w:cs="Arial" w:eastAsia="Arial" w:hAnsi="Arial"/>
          <w:sz w:val="22"/>
          <w:szCs w:val="22"/>
        </w:rPr>
        <w:t xml:space="preserve">Signed Darlehensvertrag (loan agreement) with all annexes</w:t>
      </w:r>
    </w:p>
    <w:p>
      <w:pPr>
        <w:pStyle w:val="ListParagraph"/>
        <w:numPr>
          <w:ilvl w:val="0"/>
          <w:numId w:val="2"/>
        </w:numPr>
        <w:spacing w:after="40" w:before="40"/>
      </w:pPr>
      <w:r>
        <w:rPr>
          <w:rFonts w:ascii="Arial" w:cs="Arial" w:eastAsia="Arial" w:hAnsi="Arial"/>
          <w:sz w:val="22"/>
          <w:szCs w:val="22"/>
        </w:rPr>
        <w:t xml:space="preserve">Pre-contractual information (ESIS — European Standardised Information Sheet) with proof of delivery</w:t>
      </w:r>
    </w:p>
    <w:p>
      <w:pPr>
        <w:pStyle w:val="ListParagraph"/>
        <w:numPr>
          <w:ilvl w:val="0"/>
          <w:numId w:val="2"/>
        </w:numPr>
        <w:spacing w:after="40" w:before="40"/>
      </w:pPr>
      <w:r>
        <w:rPr>
          <w:rFonts w:ascii="Arial" w:cs="Arial" w:eastAsia="Arial" w:hAnsi="Arial"/>
          <w:sz w:val="22"/>
          <w:szCs w:val="22"/>
        </w:rPr>
        <w:t xml:space="preserve">Right of withdrawal confirmation (Widerrufsbelehrung) per §§ 495, 355 BGB</w:t>
      </w:r>
    </w:p>
    <w:p>
      <w:pPr>
        <w:pStyle w:val="ListParagraph"/>
        <w:numPr>
          <w:ilvl w:val="0"/>
          <w:numId w:val="2"/>
        </w:numPr>
        <w:spacing w:after="40" w:before="40"/>
      </w:pPr>
      <w:r>
        <w:rPr>
          <w:rFonts w:ascii="Arial" w:cs="Arial" w:eastAsia="Arial" w:hAnsi="Arial"/>
          <w:sz w:val="22"/>
          <w:szCs w:val="22"/>
        </w:rPr>
        <w:t xml:space="preserve">Disbursement request(s) and confirmation(s)</w:t>
      </w:r>
    </w:p>
    <w:p>
      <w:pPr>
        <w:pStyle w:val="ListParagraph"/>
        <w:numPr>
          <w:ilvl w:val="0"/>
          <w:numId w:val="2"/>
        </w:numPr>
        <w:spacing w:after="40" w:before="40"/>
      </w:pPr>
      <w:r>
        <w:rPr>
          <w:rFonts w:ascii="Arial" w:cs="Arial" w:eastAsia="Arial" w:hAnsi="Arial"/>
          <w:sz w:val="22"/>
          <w:szCs w:val="22"/>
        </w:rPr>
        <w:t xml:space="preserve">All correspondence material to the credit decision</w:t>
      </w:r>
    </w:p>
    <w:p>
      <w:pPr>
        <w:spacing w:after="60" w:before="60"/>
      </w:pPr>
      <w:r>
        <w:t xml:space="preserve"/>
      </w:r>
    </w:p>
    <w:p>
      <w:pPr>
        <w:pStyle w:val="Heading2"/>
        <w:spacing w:after="100" w:before="240"/>
      </w:pPr>
      <w:r>
        <w:rPr>
          <w:rFonts w:ascii="Arial" w:cs="Arial" w:eastAsia="Arial" w:hAnsi="Arial"/>
          <w:b/>
          <w:bCs/>
          <w:color w:val="2E5FA3"/>
          <w:sz w:val="26"/>
          <w:szCs w:val="26"/>
        </w:rPr>
        <w:t xml:space="preserve">17.3 Document Retention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gridSpan w:val="2"/>
            <w:tcBorders>
              <w:top w:val="single" w:color="2E5FA3" w:sz="1"/>
              <w:left w:val="single" w:color="2E5FA3" w:sz="1"/>
              <w:bottom w:val="single" w:color="2E5FA3" w:sz="1"/>
              <w:right w:val="single" w:color="2E5FA3" w:sz="1"/>
            </w:tcBorders>
            <w:shd w:fill="2E5FA3" w:val="clear"/>
            <w:tcMar>
              <w:top w:type="dxa" w:w="100"/>
              <w:left w:type="dxa" w:w="160"/>
              <w:bottom w:type="dxa" w:w="100"/>
              <w:right w:type="dxa" w:w="160"/>
            </w:tcMar>
          </w:tcPr>
          <w:p>
            <w:r>
              <w:rPr>
                <w:rFonts w:ascii="Arial" w:cs="Arial" w:eastAsia="Arial" w:hAnsi="Arial"/>
                <w:b/>
                <w:bCs/>
                <w:color w:val="FFFFFF"/>
                <w:sz w:val="22"/>
                <w:szCs w:val="22"/>
              </w:rPr>
              <w:t xml:space="preserve">Statutory Retention Periods</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Credit files (Kreditakten)</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10 years post-loan maturity (HGB § 257, AO § 147)</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AML/GwG documentation</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5 years post-business relationship termination (GwG § 8)</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Pre-contractual information (ESIS)</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10 years from contract conclusion (DSGVO + MCD)</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SCHUFA / credit bureau records</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Duration of credit relationship + 3 years (BDSG / DSGVO)</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Collateral documents (Grundschuld)</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Permanently — original to be returned upon full discharge only</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Correspondence &amp; memos</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10 years (HGB § 257)</w:t>
            </w:r>
          </w:p>
        </w:tc>
      </w:tr>
    </w:tbl>
    <w:p>
      <w:pPr>
        <w:spacing w:after="60" w:before="60"/>
      </w:pPr>
      <w:r>
        <w:t xml:space="preserve"/>
      </w:r>
    </w:p>
    <w:p>
      <w:pPr>
        <w:pStyle w:val="Heading2"/>
        <w:spacing w:after="100" w:before="240"/>
      </w:pPr>
      <w:r>
        <w:rPr>
          <w:rFonts w:ascii="Arial" w:cs="Arial" w:eastAsia="Arial" w:hAnsi="Arial"/>
          <w:b/>
          <w:bCs/>
          <w:color w:val="2E5FA3"/>
          <w:sz w:val="26"/>
          <w:szCs w:val="26"/>
        </w:rPr>
        <w:t xml:space="preserve">17.4 Digital Documentation &amp; DSGVO Compliance</w:t>
      </w:r>
    </w:p>
    <w:p>
      <w:pPr>
        <w:spacing w:after="80" w:before="80"/>
        <w:jc w:val="both"/>
      </w:pPr>
      <w:r>
        <w:rPr>
          <w:rFonts w:ascii="Arial" w:cs="Arial" w:eastAsia="Arial" w:hAnsi="Arial"/>
          <w:sz w:val="22"/>
          <w:szCs w:val="22"/>
        </w:rPr>
        <w:t xml:space="preserve">Where documentation is stored electronically, the institution must comply with:</w:t>
      </w:r>
    </w:p>
    <w:p>
      <w:pPr>
        <w:pStyle w:val="ListParagraph"/>
        <w:numPr>
          <w:ilvl w:val="0"/>
          <w:numId w:val="2"/>
        </w:numPr>
        <w:spacing w:after="40" w:before="40"/>
      </w:pPr>
      <w:r>
        <w:rPr>
          <w:rFonts w:ascii="Arial" w:cs="Arial" w:eastAsia="Arial" w:hAnsi="Arial"/>
          <w:sz w:val="22"/>
          <w:szCs w:val="22"/>
        </w:rPr>
        <w:t xml:space="preserve">GoBD (Grundsätze zur ordnungsmäßigen Führung und Aufbewahrung von Büchern) for audit-proof electronic archiving</w:t>
      </w:r>
    </w:p>
    <w:p>
      <w:pPr>
        <w:pStyle w:val="ListParagraph"/>
        <w:numPr>
          <w:ilvl w:val="0"/>
          <w:numId w:val="2"/>
        </w:numPr>
        <w:spacing w:after="40" w:before="40"/>
      </w:pPr>
      <w:r>
        <w:rPr>
          <w:rFonts w:ascii="Arial" w:cs="Arial" w:eastAsia="Arial" w:hAnsi="Arial"/>
          <w:sz w:val="22"/>
          <w:szCs w:val="22"/>
        </w:rPr>
        <w:t xml:space="preserve">DSGVO / GDPR requirements for personal data processing consent, data minimisation, and right of erasure (subject to statutory retention overrides)</w:t>
      </w:r>
    </w:p>
    <w:p>
      <w:pPr>
        <w:pStyle w:val="ListParagraph"/>
        <w:numPr>
          <w:ilvl w:val="0"/>
          <w:numId w:val="2"/>
        </w:numPr>
        <w:spacing w:after="40" w:before="40"/>
      </w:pPr>
      <w:r>
        <w:rPr>
          <w:rFonts w:ascii="Arial" w:cs="Arial" w:eastAsia="Arial" w:hAnsi="Arial"/>
          <w:sz w:val="22"/>
          <w:szCs w:val="22"/>
        </w:rPr>
        <w:t xml:space="preserve">Cybersecurity and access control requirements for credit file systems per MaRisk AT 7.2</w:t>
      </w:r>
    </w:p>
    <w:p>
      <w:pPr>
        <w:spacing w:after="60" w:before="60"/>
      </w:pPr>
      <w:r>
        <w:t xml:space="preserve"/>
      </w:r>
    </w:p>
    <w:p>
      <w:pPr>
        <w:pStyle w:val="Heading1"/>
        <w:pBdr>
          <w:bottom w:val="single" w:color="2E5FA3" w:sz="8" w:space="4"/>
        </w:pBdr>
        <w:spacing w:after="120" w:before="360"/>
      </w:pPr>
      <w:r>
        <w:rPr>
          <w:rFonts w:ascii="Arial" w:cs="Arial" w:eastAsia="Arial" w:hAnsi="Arial"/>
          <w:b/>
          <w:bCs/>
          <w:color w:val="1B3A6B"/>
          <w:sz w:val="30"/>
          <w:szCs w:val="30"/>
        </w:rPr>
        <w:t xml:space="preserve">18. Compliance Calendar &amp; Review Obligations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gridSpan w:val="2"/>
            <w:tcBorders>
              <w:top w:val="single" w:color="2E5FA3" w:sz="1"/>
              <w:left w:val="single" w:color="2E5FA3" w:sz="1"/>
              <w:bottom w:val="single" w:color="2E5FA3" w:sz="1"/>
              <w:right w:val="single" w:color="2E5FA3" w:sz="1"/>
            </w:tcBorders>
            <w:shd w:fill="2E5FA3" w:val="clear"/>
            <w:tcMar>
              <w:top w:type="dxa" w:w="100"/>
              <w:left w:type="dxa" w:w="160"/>
              <w:bottom w:type="dxa" w:w="100"/>
              <w:right w:type="dxa" w:w="160"/>
            </w:tcMar>
          </w:tcPr>
          <w:p>
            <w:r>
              <w:rPr>
                <w:rFonts w:ascii="Arial" w:cs="Arial" w:eastAsia="Arial" w:hAnsi="Arial"/>
                <w:b/>
                <w:bCs/>
                <w:color w:val="FFFFFF"/>
                <w:sz w:val="22"/>
                <w:szCs w:val="22"/>
              </w:rPr>
              <w:t xml:space="preserve">Key Regulatory Review Deadlines</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Annual</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Review and Board approval of risk strategy, credit strategy, and organizational guidelines</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Annual</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ICAAP submission to BaFin; CRR reporting (COREP, FINREP)</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Annual</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Staff competency assessment and CPD documentation</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Semi-Annual</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Portfolio stress testing results presented to Board Risk Committee</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Quarterly</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Portfolio concentration limit review; early warning system report</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Quarterly</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Berlin real estate market analysis update; LTV monitoring</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Monthly</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Credit portfolio quality report (NPL ratio, watch list movements)</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Per Loan</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Revaluation triggers assessed; covenant compliance checked</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Every 1 Year (CRE)</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Mandatory collateral revaluation for commercial RE exposures &gt; €1m</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Every 3 Years (Resi)</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Mandatory collateral revaluation for residential RE exposures &gt; €1m</w:t>
            </w:r>
          </w:p>
        </w:tc>
      </w:tr>
    </w:tbl>
    <w:p>
      <w:pPr>
        <w:spacing w:after="60" w:before="60"/>
      </w:pPr>
      <w:r>
        <w:t xml:space="preserve"/>
      </w:r>
    </w:p>
    <w:p>
      <w:pPr>
        <w:pStyle w:val="Heading1"/>
        <w:pBdr>
          <w:bottom w:val="single" w:color="2E5FA3" w:sz="8" w:space="4"/>
        </w:pBdr>
        <w:spacing w:after="120" w:before="360"/>
      </w:pPr>
      <w:r>
        <w:rPr>
          <w:rFonts w:ascii="Arial" w:cs="Arial" w:eastAsia="Arial" w:hAnsi="Arial"/>
          <w:b/>
          <w:bCs/>
          <w:color w:val="1B3A6B"/>
          <w:sz w:val="30"/>
          <w:szCs w:val="30"/>
        </w:rPr>
        <w:t xml:space="preserve">19. Glossary of Key Terms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gridSpan w:val="2"/>
            <w:tcBorders>
              <w:top w:val="single" w:color="2E5FA3" w:sz="1"/>
              <w:left w:val="single" w:color="2E5FA3" w:sz="1"/>
              <w:bottom w:val="single" w:color="2E5FA3" w:sz="1"/>
              <w:right w:val="single" w:color="2E5FA3" w:sz="1"/>
            </w:tcBorders>
            <w:shd w:fill="2E5FA3" w:val="clear"/>
            <w:tcMar>
              <w:top w:type="dxa" w:w="100"/>
              <w:left w:type="dxa" w:w="160"/>
              <w:bottom w:type="dxa" w:w="100"/>
              <w:right w:type="dxa" w:w="160"/>
            </w:tcMar>
          </w:tcPr>
          <w:p>
            <w:r>
              <w:rPr>
                <w:rFonts w:ascii="Arial" w:cs="Arial" w:eastAsia="Arial" w:hAnsi="Arial"/>
                <w:b/>
                <w:bCs/>
                <w:color w:val="FFFFFF"/>
                <w:sz w:val="22"/>
                <w:szCs w:val="22"/>
              </w:rPr>
              <w:t xml:space="preserve">Key Terms</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Annuitätendarlehen</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Standard annuity mortgage — fixed monthly instalment comprising principal and interest</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Beleihungswert</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Lending value — conservative sustainable valuation per § 16 PfandBG</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Beleihungsauslauf (LTV)</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Loan-to-value ratio, expressed as loan amount ÷ Beleihungswert</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DSC / Kapitaldienstfähigkeit</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Debt service capacity — borrower's ability to meet all debt obligations from income</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Grundbuch</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Land register maintained by Grundbuchamt at Amtsgericht; definitive record of property rights</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Grundschuld</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German land charge — non-accessory security right in rem over real property</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Kreditausschuss</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Credit committee — collegial decision-making body for large/complex credits</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MaRisk</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Minimum Requirements for Risk Management — BaFin's principal supervisory framework for banks</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Markt/Marktfolge</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Front office / Back office — the MaRisk-mandated organizational separation</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Vorfälligkeitsentschädigung</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Early repayment compensation payable when borrower terminates fixed-rate loan early per § 490 BGB</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SCHUFA-Score</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Credit score issued by Germany's principal credit reference agency</w:t>
            </w:r>
          </w:p>
        </w:tc>
      </w:tr>
      <w:tr>
        <w:tc>
          <w:tcPr>
            <w:tcW w:type="dxa" w:w="3600"/>
            <w:tcBorders>
              <w:top w:val="single" w:color="AABBD4" w:sz="1"/>
              <w:left w:val="single" w:color="AABBD4" w:sz="1"/>
              <w:bottom w:val="single" w:color="AABBD4" w:sz="1"/>
              <w:right w:val="single" w:color="AABBD4" w:sz="1"/>
            </w:tcBorders>
            <w:shd w:fill="F4F6FA" w:val="clear"/>
            <w:tcMar>
              <w:top w:type="dxa" w:w="100"/>
              <w:left w:type="dxa" w:w="160"/>
              <w:bottom w:type="dxa" w:w="100"/>
              <w:right w:type="dxa" w:w="160"/>
            </w:tcMar>
          </w:tcPr>
          <w:p>
            <w:r>
              <w:rPr>
                <w:rFonts w:ascii="Arial" w:cs="Arial" w:eastAsia="Arial" w:hAnsi="Arial"/>
                <w:b/>
                <w:bCs/>
                <w:color w:val="1B1B1B"/>
                <w:sz w:val="21"/>
                <w:szCs w:val="21"/>
              </w:rPr>
              <w:t xml:space="preserve">Vier-Augen-Prinzip</w:t>
            </w:r>
          </w:p>
        </w:tc>
        <w:tc>
          <w:tcPr>
            <w:tcW w:type="dxa" w:w="5760"/>
            <w:tcBorders>
              <w:top w:val="single" w:color="AABBD4" w:sz="1"/>
              <w:left w:val="single" w:color="AABBD4" w:sz="1"/>
              <w:bottom w:val="single" w:color="AABBD4" w:sz="1"/>
              <w:right w:val="single" w:color="AABBD4" w:sz="1"/>
            </w:tcBorders>
            <w:tcMar>
              <w:top w:type="dxa" w:w="100"/>
              <w:left w:type="dxa" w:w="160"/>
              <w:bottom w:type="dxa" w:w="100"/>
              <w:right w:type="dxa" w:w="160"/>
            </w:tcMar>
          </w:tcPr>
          <w:p>
            <w:r>
              <w:rPr>
                <w:rFonts w:ascii="Arial" w:cs="Arial" w:eastAsia="Arial" w:hAnsi="Arial"/>
                <w:sz w:val="21"/>
                <w:szCs w:val="21"/>
              </w:rPr>
              <w:t xml:space="preserve">Four-eyes principle — mandatory dual sign-off on all material credit decisions</w:t>
            </w:r>
          </w:p>
        </w:tc>
      </w:tr>
    </w:tbl>
    <w:p>
      <w:pPr>
        <w:spacing w:after="120" w:before="120"/>
      </w:pPr>
      <w:r>
        <w:t xml:space="preserve"/>
      </w:r>
    </w:p>
    <w:p>
      <w:pPr>
        <w:pBdr>
          <w:top w:val="single" w:color="AABBD4" w:sz="6" w:space="4"/>
        </w:pBdr>
        <w:spacing w:after="80" w:before="360"/>
      </w:pPr>
      <w:r>
        <w:rPr>
          <w:rFonts w:ascii="Arial" w:cs="Arial" w:eastAsia="Arial" w:hAnsi="Arial"/>
          <w:b/>
          <w:bCs/>
          <w:color w:val="666666"/>
          <w:sz w:val="20"/>
          <w:szCs w:val="20"/>
        </w:rPr>
        <w:t xml:space="preserve">Legal Disclaimer</w:t>
      </w:r>
    </w:p>
    <w:p>
      <w:pPr>
        <w:spacing w:after="40" w:before="40"/>
        <w:jc w:val="both"/>
      </w:pPr>
      <w:r>
        <w:rPr>
          <w:rFonts w:ascii="Arial" w:cs="Arial" w:eastAsia="Arial" w:hAnsi="Arial"/>
          <w:i/>
          <w:iCs/>
          <w:color w:val="777777"/>
          <w:sz w:val="18"/>
          <w:szCs w:val="18"/>
        </w:rPr>
        <w:t xml:space="preserve">This document is intended for professional use by qualified banking and financial services professionals operating within the regulated credit sector in Germany. It constitutes a framework document and does not constitute legal, regulatory, or financial advice. All references to BGB provisions, KWG, MaRisk, and CRR reflect the legal position as of the date stated herein. Users should verify current regulatory requirements with qualified legal counsel. This document does not supersede applicable law, BaFin regulations, or the institution's own binding internal guidelines.</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5FA3" w:sz="6" w:space="4"/>
      </w:pBdr>
    </w:pPr>
    <w:r>
      <w:rPr>
        <w:rFonts w:ascii="Arial" w:cs="Arial" w:eastAsia="Arial" w:hAnsi="Arial"/>
        <w:color w:val="888888"/>
        <w:sz w:val="18"/>
        <w:szCs w:val="18"/>
      </w:rPr>
      <w:t xml:space="preserve">BGB §§ 488–490, 504–505b  |  KWG  |  MaRisk  |  CRR/CRD IV  |  Page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of </w:t>
    </w:r>
    <w:r>
      <w:rPr>
        <w:rFonts w:ascii="Arial" w:cs="Arial" w:eastAsia="Arial" w:hAnsi="Arial"/>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5FA3" w:sz="6" w:space="4"/>
      </w:pBdr>
    </w:pPr>
    <w:r>
      <w:rPr>
        <w:rFonts w:ascii="Arial" w:cs="Arial" w:eastAsia="Arial" w:hAnsi="Arial"/>
        <w:color w:val="666666"/>
        <w:sz w:val="18"/>
        <w:szCs w:val="18"/>
      </w:rPr>
      <w:t xml:space="preserve">REAL ESTATE CREDIT CHECK — BERLIN  |  Confidential &amp; Privileged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B3A6B"/>
      <w:sz w:val="30"/>
      <w:szCs w:val="30"/>
    </w:rPr>
  </w:style>
  <w:style w:type="paragraph" w:styleId="Heading2">
    <w:name w:val="Heading 2"/>
    <w:basedOn w:val="Normal"/>
    <w:next w:val="Normal"/>
    <w:qFormat/>
    <w:pPr>
      <w:spacing w:after="100" w:before="240"/>
      <w:outlineLvl w:val="1"/>
    </w:pPr>
    <w:rPr>
      <w:rFonts w:ascii="Arial" w:cs="Arial" w:eastAsia="Arial" w:hAnsi="Arial"/>
      <w:b/>
      <w:bCs/>
      <w:color w:val="2E5FA3"/>
      <w:sz w:val="26"/>
      <w:szCs w:val="26"/>
    </w:rPr>
  </w:style>
  <w:style w:type="paragraph" w:styleId="Heading3">
    <w:name w:val="Heading 3"/>
    <w:basedOn w:val="Normal"/>
    <w:next w:val="Normal"/>
    <w:qFormat/>
    <w:pPr>
      <w:spacing w:after="80" w:before="180"/>
      <w:outlineLvl w:val="2"/>
    </w:pPr>
    <w:rPr>
      <w:rFonts w:ascii="Arial" w:cs="Arial" w:eastAsia="Arial" w:hAnsi="Arial"/>
      <w:b/>
      <w:bCs/>
      <w:color w:val="2C3E5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2026-04-03T07:44:42.460Z</dcterms:created>
  <dcterms:modified xsi:type="dcterms:W3CDTF">2026-04-03T07:44:42.460Z</dcterms:modified>
</cp:coreProperties>
</file>

<file path=docProps/custom.xml><?xml version="1.0" encoding="utf-8"?>
<Properties xmlns="http://schemas.openxmlformats.org/officeDocument/2006/custom-properties" xmlns:vt="http://schemas.openxmlformats.org/officeDocument/2006/docPropsVTypes"/>
</file>